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4129" w14:textId="77777777" w:rsidR="00B04576" w:rsidRDefault="001457B7">
      <w:bookmarkStart w:id="0" w:name="_heading=h.gjdgxs" w:colFirst="0" w:colLast="0"/>
      <w:bookmarkEnd w:id="0"/>
      <w:r>
        <w:rPr>
          <w:noProof/>
        </w:rPr>
        <w:drawing>
          <wp:inline distT="114300" distB="114300" distL="114300" distR="114300" wp14:anchorId="3C914784" wp14:editId="2C716214">
            <wp:extent cx="2166938" cy="66166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66938" cy="661660"/>
                    </a:xfrm>
                    <a:prstGeom prst="rect">
                      <a:avLst/>
                    </a:prstGeom>
                    <a:ln/>
                  </pic:spPr>
                </pic:pic>
              </a:graphicData>
            </a:graphic>
          </wp:inline>
        </w:drawing>
      </w:r>
    </w:p>
    <w:p w14:paraId="2113A5A0" w14:textId="77777777" w:rsidR="00B04576" w:rsidRDefault="00B04576">
      <w:pPr>
        <w:jc w:val="center"/>
        <w:rPr>
          <w:sz w:val="20"/>
          <w:szCs w:val="20"/>
        </w:rPr>
      </w:pPr>
    </w:p>
    <w:p w14:paraId="09C5BBE7" w14:textId="77777777" w:rsidR="00B04576" w:rsidRDefault="001457B7">
      <w:pPr>
        <w:ind w:right="-180"/>
        <w:jc w:val="center"/>
        <w:rPr>
          <w:rFonts w:ascii="Nunito" w:eastAsia="Nunito" w:hAnsi="Nunito" w:cs="Nunito"/>
          <w:b/>
        </w:rPr>
      </w:pPr>
      <w:r>
        <w:rPr>
          <w:rFonts w:ascii="Nunito" w:eastAsia="Nunito" w:hAnsi="Nunito" w:cs="Nunito"/>
          <w:b/>
        </w:rPr>
        <w:t xml:space="preserve">Addressing Conflict in your Chapter Meetings:  </w:t>
      </w:r>
    </w:p>
    <w:p w14:paraId="01C6390E" w14:textId="77777777" w:rsidR="00B04576" w:rsidRDefault="001457B7">
      <w:pPr>
        <w:ind w:right="-180"/>
        <w:jc w:val="center"/>
        <w:rPr>
          <w:rFonts w:ascii="Nunito" w:eastAsia="Nunito" w:hAnsi="Nunito" w:cs="Nunito"/>
          <w:b/>
        </w:rPr>
      </w:pPr>
      <w:r>
        <w:rPr>
          <w:rFonts w:ascii="Nunito" w:eastAsia="Nunito" w:hAnsi="Nunito" w:cs="Nunito"/>
          <w:b/>
        </w:rPr>
        <w:t>What to do when Group Agreements are Broken</w:t>
      </w:r>
    </w:p>
    <w:p w14:paraId="2C87810A" w14:textId="77777777" w:rsidR="00B04576" w:rsidRDefault="00B04576">
      <w:pPr>
        <w:ind w:right="-180"/>
        <w:jc w:val="center"/>
        <w:rPr>
          <w:rFonts w:ascii="Nunito" w:eastAsia="Nunito" w:hAnsi="Nunito" w:cs="Nunito"/>
          <w:b/>
        </w:rPr>
      </w:pPr>
    </w:p>
    <w:p w14:paraId="656E23E4" w14:textId="77777777" w:rsidR="00B04576" w:rsidRDefault="001457B7">
      <w:pPr>
        <w:ind w:right="-180"/>
        <w:jc w:val="left"/>
        <w:rPr>
          <w:rFonts w:ascii="Nunito" w:eastAsia="Nunito" w:hAnsi="Nunito" w:cs="Nunito"/>
        </w:rPr>
      </w:pPr>
      <w:r>
        <w:rPr>
          <w:rFonts w:ascii="Nunito" w:eastAsia="Nunito" w:hAnsi="Nunito" w:cs="Nunito"/>
          <w:b/>
        </w:rPr>
        <w:t xml:space="preserve">Objective: </w:t>
      </w:r>
      <w:r>
        <w:rPr>
          <w:rFonts w:ascii="Nunito" w:eastAsia="Nunito" w:hAnsi="Nunito" w:cs="Nunito"/>
        </w:rPr>
        <w:t>To maintain a respectful space if group agreements are broken.</w:t>
      </w:r>
    </w:p>
    <w:p w14:paraId="4D63C8B4" w14:textId="77777777" w:rsidR="00B04576" w:rsidRDefault="00B04576">
      <w:pPr>
        <w:ind w:right="-180"/>
        <w:jc w:val="left"/>
        <w:rPr>
          <w:rFonts w:ascii="Nunito" w:eastAsia="Nunito" w:hAnsi="Nunito" w:cs="Nunito"/>
        </w:rPr>
      </w:pPr>
    </w:p>
    <w:p w14:paraId="08178A4B" w14:textId="77777777" w:rsidR="00B04576" w:rsidRDefault="001457B7">
      <w:pPr>
        <w:ind w:right="-180"/>
        <w:jc w:val="left"/>
        <w:rPr>
          <w:rFonts w:ascii="Nunito" w:eastAsia="Nunito" w:hAnsi="Nunito" w:cs="Nunito"/>
        </w:rPr>
      </w:pPr>
      <w:r>
        <w:rPr>
          <w:rFonts w:ascii="Nunito" w:eastAsia="Nunito" w:hAnsi="Nunito" w:cs="Nunito"/>
          <w:b/>
        </w:rPr>
        <w:t>Introduction:</w:t>
      </w:r>
      <w:r>
        <w:rPr>
          <w:rFonts w:ascii="Nunito" w:eastAsia="Nunito" w:hAnsi="Nunito" w:cs="Nunito"/>
        </w:rPr>
        <w:t xml:space="preserve">  Group agreements sound good in theory.  But whether you’re talking about your religious practice or a highly charged issue, it’s likely that at some point during a meeting, you or another sister will feel misunderstood or offended.  It’s important to reg</w:t>
      </w:r>
      <w:r>
        <w:rPr>
          <w:rFonts w:ascii="Nunito" w:eastAsia="Nunito" w:hAnsi="Nunito" w:cs="Nunito"/>
        </w:rPr>
        <w:t>ularly remind sisters that while they may have very strong opinions about what is “right” and “wrong”, beliefs and practices are personal. Our role is to listen to understand each sister’s experience, not to suggest that her beliefs or practices are incorr</w:t>
      </w:r>
      <w:r>
        <w:rPr>
          <w:rFonts w:ascii="Nunito" w:eastAsia="Nunito" w:hAnsi="Nunito" w:cs="Nunito"/>
        </w:rPr>
        <w:t xml:space="preserve">ect. Remember, she’s not representing her religion, she’s representing herself!  It’s helpful to periodically post and review the group agreements during regular meetings and to always review them before talking about a highly charged issue. </w:t>
      </w:r>
    </w:p>
    <w:p w14:paraId="0A211E1D" w14:textId="77777777" w:rsidR="00B04576" w:rsidRDefault="00B04576">
      <w:pPr>
        <w:ind w:right="-180"/>
        <w:jc w:val="left"/>
        <w:rPr>
          <w:rFonts w:ascii="Nunito" w:eastAsia="Nunito" w:hAnsi="Nunito" w:cs="Nunito"/>
        </w:rPr>
      </w:pPr>
    </w:p>
    <w:p w14:paraId="338D0139" w14:textId="77777777" w:rsidR="00B04576" w:rsidRDefault="001457B7">
      <w:pPr>
        <w:ind w:right="-180"/>
        <w:jc w:val="left"/>
        <w:rPr>
          <w:rFonts w:ascii="Nunito" w:eastAsia="Nunito" w:hAnsi="Nunito" w:cs="Nunito"/>
        </w:rPr>
      </w:pPr>
      <w:r>
        <w:rPr>
          <w:rFonts w:ascii="Nunito" w:eastAsia="Nunito" w:hAnsi="Nunito" w:cs="Nunito"/>
        </w:rPr>
        <w:t>Every chapte</w:t>
      </w:r>
      <w:r>
        <w:rPr>
          <w:rFonts w:ascii="Nunito" w:eastAsia="Nunito" w:hAnsi="Nunito" w:cs="Nunito"/>
        </w:rPr>
        <w:t xml:space="preserve">r and situation are different, but here are </w:t>
      </w:r>
      <w:r>
        <w:rPr>
          <w:rFonts w:ascii="Nunito" w:eastAsia="Nunito" w:hAnsi="Nunito" w:cs="Nunito"/>
          <w:b/>
        </w:rPr>
        <w:t>four general strategies</w:t>
      </w:r>
      <w:r>
        <w:rPr>
          <w:rFonts w:ascii="Nunito" w:eastAsia="Nunito" w:hAnsi="Nunito" w:cs="Nunito"/>
        </w:rPr>
        <w:t xml:space="preserve"> you can use if you notice tension in your chapter meeting or someone explicitly says they’re upset:</w:t>
      </w:r>
    </w:p>
    <w:p w14:paraId="4374B482" w14:textId="77777777" w:rsidR="00B04576" w:rsidRDefault="00B04576">
      <w:pPr>
        <w:ind w:right="-180"/>
        <w:jc w:val="left"/>
        <w:rPr>
          <w:rFonts w:ascii="Nunito" w:eastAsia="Nunito" w:hAnsi="Nunito" w:cs="Nunito"/>
        </w:rPr>
      </w:pPr>
    </w:p>
    <w:p w14:paraId="6F3DC008" w14:textId="77777777" w:rsidR="00B04576" w:rsidRDefault="001457B7">
      <w:pPr>
        <w:numPr>
          <w:ilvl w:val="0"/>
          <w:numId w:val="2"/>
        </w:numPr>
        <w:pBdr>
          <w:top w:val="nil"/>
          <w:left w:val="nil"/>
          <w:bottom w:val="nil"/>
          <w:right w:val="nil"/>
          <w:between w:val="nil"/>
        </w:pBdr>
        <w:tabs>
          <w:tab w:val="left" w:pos="270"/>
        </w:tabs>
        <w:ind w:left="0" w:right="-180" w:firstLine="0"/>
        <w:jc w:val="left"/>
        <w:rPr>
          <w:rFonts w:ascii="Nunito" w:eastAsia="Nunito" w:hAnsi="Nunito" w:cs="Nunito"/>
        </w:rPr>
      </w:pPr>
      <w:r>
        <w:rPr>
          <w:rFonts w:ascii="Nunito" w:eastAsia="Nunito" w:hAnsi="Nunito" w:cs="Nunito"/>
          <w:color w:val="000000"/>
        </w:rPr>
        <w:t>Name what you see</w:t>
      </w:r>
    </w:p>
    <w:p w14:paraId="2EFCE6D2" w14:textId="77777777" w:rsidR="00B04576" w:rsidRDefault="001457B7">
      <w:pPr>
        <w:numPr>
          <w:ilvl w:val="0"/>
          <w:numId w:val="2"/>
        </w:numPr>
        <w:pBdr>
          <w:top w:val="nil"/>
          <w:left w:val="nil"/>
          <w:bottom w:val="nil"/>
          <w:right w:val="nil"/>
          <w:between w:val="nil"/>
        </w:pBdr>
        <w:tabs>
          <w:tab w:val="left" w:pos="270"/>
        </w:tabs>
        <w:ind w:left="0" w:right="-180" w:firstLine="0"/>
        <w:jc w:val="left"/>
        <w:rPr>
          <w:rFonts w:ascii="Nunito" w:eastAsia="Nunito" w:hAnsi="Nunito" w:cs="Nunito"/>
        </w:rPr>
      </w:pPr>
      <w:r>
        <w:rPr>
          <w:rFonts w:ascii="Nunito" w:eastAsia="Nunito" w:hAnsi="Nunito" w:cs="Nunito"/>
          <w:color w:val="000000"/>
        </w:rPr>
        <w:t>Ask for clarification</w:t>
      </w:r>
    </w:p>
    <w:p w14:paraId="372FE021" w14:textId="77777777" w:rsidR="00B04576" w:rsidRDefault="001457B7">
      <w:pPr>
        <w:numPr>
          <w:ilvl w:val="0"/>
          <w:numId w:val="2"/>
        </w:numPr>
        <w:pBdr>
          <w:top w:val="nil"/>
          <w:left w:val="nil"/>
          <w:bottom w:val="nil"/>
          <w:right w:val="nil"/>
          <w:between w:val="nil"/>
        </w:pBdr>
        <w:tabs>
          <w:tab w:val="left" w:pos="270"/>
        </w:tabs>
        <w:ind w:left="0" w:right="-180" w:firstLine="0"/>
        <w:jc w:val="left"/>
        <w:rPr>
          <w:rFonts w:ascii="Nunito" w:eastAsia="Nunito" w:hAnsi="Nunito" w:cs="Nunito"/>
        </w:rPr>
      </w:pPr>
      <w:r>
        <w:rPr>
          <w:rFonts w:ascii="Nunito" w:eastAsia="Nunito" w:hAnsi="Nunito" w:cs="Nunito"/>
          <w:color w:val="000000"/>
        </w:rPr>
        <w:t>Seek input from others</w:t>
      </w:r>
    </w:p>
    <w:p w14:paraId="42B623A9" w14:textId="77777777" w:rsidR="00B04576" w:rsidRDefault="001457B7">
      <w:pPr>
        <w:numPr>
          <w:ilvl w:val="0"/>
          <w:numId w:val="2"/>
        </w:numPr>
        <w:pBdr>
          <w:top w:val="nil"/>
          <w:left w:val="nil"/>
          <w:bottom w:val="nil"/>
          <w:right w:val="nil"/>
          <w:between w:val="nil"/>
        </w:pBdr>
        <w:tabs>
          <w:tab w:val="left" w:pos="270"/>
        </w:tabs>
        <w:ind w:left="0" w:right="-180" w:firstLine="0"/>
        <w:jc w:val="left"/>
        <w:rPr>
          <w:rFonts w:ascii="Nunito" w:eastAsia="Nunito" w:hAnsi="Nunito" w:cs="Nunito"/>
        </w:rPr>
      </w:pPr>
      <w:r>
        <w:rPr>
          <w:rFonts w:ascii="Nunito" w:eastAsia="Nunito" w:hAnsi="Nunito" w:cs="Nunito"/>
          <w:color w:val="000000"/>
        </w:rPr>
        <w:t>Explore feelings</w:t>
      </w:r>
    </w:p>
    <w:p w14:paraId="6082E3C8" w14:textId="77777777" w:rsidR="00B04576" w:rsidRDefault="00B04576">
      <w:pPr>
        <w:ind w:right="-180"/>
        <w:jc w:val="left"/>
        <w:rPr>
          <w:rFonts w:ascii="Nunito" w:eastAsia="Nunito" w:hAnsi="Nunito" w:cs="Nunito"/>
        </w:rPr>
      </w:pPr>
    </w:p>
    <w:p w14:paraId="1869643F" w14:textId="77777777" w:rsidR="00B04576" w:rsidRDefault="001457B7">
      <w:pPr>
        <w:ind w:right="-180"/>
        <w:jc w:val="left"/>
        <w:rPr>
          <w:rFonts w:ascii="Nunito" w:eastAsia="Nunito" w:hAnsi="Nunito" w:cs="Nunito"/>
        </w:rPr>
      </w:pPr>
      <w:r>
        <w:rPr>
          <w:rFonts w:ascii="Nunito" w:eastAsia="Nunito" w:hAnsi="Nunito" w:cs="Nunito"/>
        </w:rPr>
        <w:t>If you</w:t>
      </w:r>
      <w:r>
        <w:rPr>
          <w:rFonts w:ascii="Nunito" w:eastAsia="Nunito" w:hAnsi="Nunito" w:cs="Nunito"/>
        </w:rPr>
        <w:t xml:space="preserve"> find yourself wondering how to respond, keep these four strategies in mind.  And since you may not know when a sister has said something that’s offensive to another sister, remember to assume good will!  Here are a couple of examples to get you started.</w:t>
      </w:r>
    </w:p>
    <w:p w14:paraId="1E3790A4" w14:textId="77777777" w:rsidR="00B04576" w:rsidRDefault="00B04576">
      <w:pPr>
        <w:ind w:right="-180"/>
        <w:jc w:val="left"/>
        <w:rPr>
          <w:rFonts w:ascii="Nunito" w:eastAsia="Nunito" w:hAnsi="Nunito" w:cs="Nunito"/>
        </w:rPr>
      </w:pPr>
    </w:p>
    <w:p w14:paraId="54B4AF8E" w14:textId="77777777" w:rsidR="00B04576" w:rsidRDefault="001457B7">
      <w:pPr>
        <w:ind w:right="-180"/>
        <w:jc w:val="left"/>
        <w:rPr>
          <w:rFonts w:ascii="Nunito" w:eastAsia="Nunito" w:hAnsi="Nunito" w:cs="Nunito"/>
        </w:rPr>
      </w:pPr>
      <w:r>
        <w:rPr>
          <w:rFonts w:ascii="Nunito" w:eastAsia="Nunito" w:hAnsi="Nunito" w:cs="Nunito"/>
          <w:b/>
        </w:rPr>
        <w:t>What if</w:t>
      </w:r>
      <w:r>
        <w:rPr>
          <w:rFonts w:ascii="Nunito" w:eastAsia="Nunito" w:hAnsi="Nunito" w:cs="Nunito"/>
        </w:rPr>
        <w:t>...a sister “corrects” another sister, implying that she doesn’t know enough about a religious practice to speak about it. Or,</w:t>
      </w:r>
    </w:p>
    <w:p w14:paraId="32BFBB78" w14:textId="77777777" w:rsidR="00B04576" w:rsidRDefault="00B04576">
      <w:pPr>
        <w:ind w:right="-180"/>
        <w:jc w:val="left"/>
        <w:rPr>
          <w:rFonts w:ascii="Nunito" w:eastAsia="Nunito" w:hAnsi="Nunito" w:cs="Nunito"/>
        </w:rPr>
      </w:pPr>
    </w:p>
    <w:p w14:paraId="0087BF1E" w14:textId="77777777" w:rsidR="00B04576" w:rsidRDefault="001457B7">
      <w:pPr>
        <w:ind w:right="-180"/>
        <w:jc w:val="left"/>
        <w:rPr>
          <w:rFonts w:ascii="Nunito" w:eastAsia="Nunito" w:hAnsi="Nunito" w:cs="Nunito"/>
        </w:rPr>
      </w:pPr>
      <w:r>
        <w:rPr>
          <w:rFonts w:ascii="Nunito" w:eastAsia="Nunito" w:hAnsi="Nunito" w:cs="Nunito"/>
          <w:b/>
        </w:rPr>
        <w:t>What if</w:t>
      </w:r>
      <w:r>
        <w:rPr>
          <w:rFonts w:ascii="Nunito" w:eastAsia="Nunito" w:hAnsi="Nunito" w:cs="Nunito"/>
        </w:rPr>
        <w:t>… a sister says that everyone should practice her faith in a certain way.  For example, “every Jewish sister shoul</w:t>
      </w:r>
      <w:r>
        <w:rPr>
          <w:rFonts w:ascii="Nunito" w:eastAsia="Nunito" w:hAnsi="Nunito" w:cs="Nunito"/>
        </w:rPr>
        <w:t>d keep a kosher home”, or “you’re not a ‘good-enough Muslim’ if you don’t eat halal meat.”</w:t>
      </w:r>
    </w:p>
    <w:p w14:paraId="72BB912D" w14:textId="77777777" w:rsidR="00B04576" w:rsidRDefault="00B04576">
      <w:pPr>
        <w:ind w:right="-180"/>
        <w:jc w:val="left"/>
        <w:rPr>
          <w:rFonts w:ascii="Nunito" w:eastAsia="Nunito" w:hAnsi="Nunito" w:cs="Nunito"/>
        </w:rPr>
      </w:pPr>
    </w:p>
    <w:p w14:paraId="20BD5CCB" w14:textId="77777777" w:rsidR="00B04576" w:rsidRDefault="001457B7">
      <w:pPr>
        <w:ind w:right="-180"/>
        <w:jc w:val="left"/>
        <w:rPr>
          <w:rFonts w:ascii="Nunito" w:eastAsia="Nunito" w:hAnsi="Nunito" w:cs="Nunito"/>
        </w:rPr>
      </w:pPr>
      <w:r>
        <w:rPr>
          <w:rFonts w:ascii="Nunito" w:eastAsia="Nunito" w:hAnsi="Nunito" w:cs="Nunito"/>
          <w:b/>
        </w:rPr>
        <w:t xml:space="preserve">General response: </w:t>
      </w:r>
      <w:r>
        <w:rPr>
          <w:rFonts w:ascii="Nunito" w:eastAsia="Nunito" w:hAnsi="Nunito" w:cs="Nunito"/>
        </w:rPr>
        <w:t>“Remember, we each speak for ourselves and not on behalf of our religious group. Our religious practices may vary widely and part of the joy of in</w:t>
      </w:r>
      <w:r>
        <w:rPr>
          <w:rFonts w:ascii="Nunito" w:eastAsia="Nunito" w:hAnsi="Nunito" w:cs="Nunito"/>
        </w:rPr>
        <w:t>ter-religious dialogue is learning about the variety of belief and practice within each religious group. We’ve committed to ‘step up’ to share our thoughts and beliefs, and then ‘step back’ and listen to others. If the sister insists that information is in</w:t>
      </w:r>
      <w:r>
        <w:rPr>
          <w:rFonts w:ascii="Nunito" w:eastAsia="Nunito" w:hAnsi="Nunito" w:cs="Nunito"/>
        </w:rPr>
        <w:t>correct, you might:</w:t>
      </w:r>
    </w:p>
    <w:p w14:paraId="1B9D96EA" w14:textId="77777777" w:rsidR="00B04576" w:rsidRDefault="00B04576">
      <w:pPr>
        <w:ind w:right="-180"/>
        <w:jc w:val="left"/>
        <w:rPr>
          <w:rFonts w:ascii="Nunito" w:eastAsia="Nunito" w:hAnsi="Nunito" w:cs="Nunito"/>
        </w:rPr>
      </w:pPr>
    </w:p>
    <w:p w14:paraId="07B34735" w14:textId="77777777" w:rsidR="00B04576" w:rsidRDefault="001457B7">
      <w:pPr>
        <w:numPr>
          <w:ilvl w:val="0"/>
          <w:numId w:val="1"/>
        </w:numPr>
        <w:pBdr>
          <w:top w:val="nil"/>
          <w:left w:val="nil"/>
          <w:bottom w:val="nil"/>
          <w:right w:val="nil"/>
          <w:between w:val="nil"/>
        </w:pBdr>
        <w:tabs>
          <w:tab w:val="left" w:pos="270"/>
        </w:tabs>
        <w:ind w:left="0" w:right="-180" w:firstLine="0"/>
        <w:jc w:val="left"/>
      </w:pPr>
      <w:r>
        <w:rPr>
          <w:rFonts w:ascii="Nunito" w:eastAsia="Nunito" w:hAnsi="Nunito" w:cs="Nunito"/>
          <w:b/>
          <w:color w:val="000000"/>
        </w:rPr>
        <w:t>Name what you see</w:t>
      </w:r>
      <w:r>
        <w:rPr>
          <w:rFonts w:ascii="Nunito" w:eastAsia="Nunito" w:hAnsi="Nunito" w:cs="Nunito"/>
          <w:color w:val="000000"/>
        </w:rPr>
        <w:t xml:space="preserve">: “It seems like there are different opinions and perspectives about (fill in the blank).  Do people think it’s possible for both to exist </w:t>
      </w:r>
      <w:r>
        <w:rPr>
          <w:rFonts w:ascii="Nunito" w:eastAsia="Nunito" w:hAnsi="Nunito" w:cs="Nunito"/>
        </w:rPr>
        <w:t>side-by-side</w:t>
      </w:r>
      <w:r>
        <w:rPr>
          <w:rFonts w:ascii="Nunito" w:eastAsia="Nunito" w:hAnsi="Nunito" w:cs="Nunito"/>
          <w:color w:val="000000"/>
        </w:rPr>
        <w:t>?”</w:t>
      </w:r>
    </w:p>
    <w:p w14:paraId="03BF7893" w14:textId="77777777" w:rsidR="00B04576" w:rsidRDefault="00B04576">
      <w:pPr>
        <w:pBdr>
          <w:top w:val="nil"/>
          <w:left w:val="nil"/>
          <w:bottom w:val="nil"/>
          <w:right w:val="nil"/>
          <w:between w:val="nil"/>
        </w:pBdr>
        <w:tabs>
          <w:tab w:val="left" w:pos="270"/>
        </w:tabs>
        <w:ind w:left="720" w:right="-180"/>
        <w:jc w:val="left"/>
        <w:rPr>
          <w:rFonts w:ascii="Nunito" w:eastAsia="Nunito" w:hAnsi="Nunito" w:cs="Nunito"/>
        </w:rPr>
      </w:pPr>
    </w:p>
    <w:p w14:paraId="63815B58" w14:textId="77777777" w:rsidR="00B04576" w:rsidRDefault="001457B7">
      <w:pPr>
        <w:numPr>
          <w:ilvl w:val="0"/>
          <w:numId w:val="1"/>
        </w:numPr>
        <w:pBdr>
          <w:top w:val="nil"/>
          <w:left w:val="nil"/>
          <w:bottom w:val="nil"/>
          <w:right w:val="nil"/>
          <w:between w:val="nil"/>
        </w:pBdr>
        <w:tabs>
          <w:tab w:val="left" w:pos="270"/>
        </w:tabs>
        <w:ind w:left="0" w:right="-180" w:firstLine="0"/>
        <w:jc w:val="left"/>
      </w:pPr>
      <w:r>
        <w:rPr>
          <w:rFonts w:ascii="Nunito" w:eastAsia="Nunito" w:hAnsi="Nunito" w:cs="Nunito"/>
          <w:b/>
          <w:color w:val="000000"/>
        </w:rPr>
        <w:t>Seek input from others</w:t>
      </w:r>
      <w:r>
        <w:rPr>
          <w:rFonts w:ascii="Nunito" w:eastAsia="Nunito" w:hAnsi="Nunito" w:cs="Nunito"/>
          <w:color w:val="000000"/>
        </w:rPr>
        <w:t>: “Does anyone else in the group have inf</w:t>
      </w:r>
      <w:r>
        <w:rPr>
          <w:rFonts w:ascii="Nunito" w:eastAsia="Nunito" w:hAnsi="Nunito" w:cs="Nunito"/>
          <w:color w:val="000000"/>
        </w:rPr>
        <w:t>ormation that might shed light on different ways of looking at (fill in the blank)?”</w:t>
      </w:r>
    </w:p>
    <w:p w14:paraId="749A24CB" w14:textId="77777777" w:rsidR="00B04576" w:rsidRDefault="00B04576">
      <w:pPr>
        <w:pBdr>
          <w:top w:val="nil"/>
          <w:left w:val="nil"/>
          <w:bottom w:val="nil"/>
          <w:right w:val="nil"/>
          <w:between w:val="nil"/>
        </w:pBdr>
        <w:tabs>
          <w:tab w:val="left" w:pos="270"/>
        </w:tabs>
        <w:ind w:right="-180"/>
        <w:jc w:val="left"/>
        <w:rPr>
          <w:rFonts w:ascii="Nunito" w:eastAsia="Nunito" w:hAnsi="Nunito" w:cs="Nunito"/>
          <w:color w:val="000000"/>
        </w:rPr>
      </w:pPr>
    </w:p>
    <w:p w14:paraId="58827A2E" w14:textId="77777777" w:rsidR="00B04576" w:rsidRDefault="001457B7">
      <w:pPr>
        <w:numPr>
          <w:ilvl w:val="0"/>
          <w:numId w:val="1"/>
        </w:numPr>
        <w:pBdr>
          <w:top w:val="nil"/>
          <w:left w:val="nil"/>
          <w:bottom w:val="nil"/>
          <w:right w:val="nil"/>
          <w:between w:val="nil"/>
        </w:pBdr>
        <w:tabs>
          <w:tab w:val="left" w:pos="270"/>
        </w:tabs>
        <w:ind w:left="0" w:right="-180" w:firstLine="0"/>
        <w:jc w:val="left"/>
      </w:pPr>
      <w:r>
        <w:rPr>
          <w:rFonts w:ascii="Nunito" w:eastAsia="Nunito" w:hAnsi="Nunito" w:cs="Nunito"/>
          <w:b/>
          <w:color w:val="000000"/>
        </w:rPr>
        <w:t>Ask for clarification</w:t>
      </w:r>
      <w:r>
        <w:rPr>
          <w:rFonts w:ascii="Nunito" w:eastAsia="Nunito" w:hAnsi="Nunito" w:cs="Nunito"/>
          <w:color w:val="000000"/>
        </w:rPr>
        <w:t>: “When you say (fill in the blank), do you mean (fill in the blank)?</w:t>
      </w:r>
    </w:p>
    <w:p w14:paraId="2096090F" w14:textId="77777777" w:rsidR="00B04576" w:rsidRDefault="00B04576">
      <w:pPr>
        <w:pBdr>
          <w:top w:val="nil"/>
          <w:left w:val="nil"/>
          <w:bottom w:val="nil"/>
          <w:right w:val="nil"/>
          <w:between w:val="nil"/>
        </w:pBdr>
        <w:tabs>
          <w:tab w:val="left" w:pos="270"/>
        </w:tabs>
        <w:ind w:right="-180"/>
        <w:jc w:val="left"/>
        <w:rPr>
          <w:rFonts w:ascii="Nunito" w:eastAsia="Nunito" w:hAnsi="Nunito" w:cs="Nunito"/>
          <w:color w:val="000000"/>
        </w:rPr>
      </w:pPr>
    </w:p>
    <w:p w14:paraId="36E64FD4" w14:textId="77777777" w:rsidR="00B04576" w:rsidRDefault="001457B7">
      <w:pPr>
        <w:numPr>
          <w:ilvl w:val="0"/>
          <w:numId w:val="1"/>
        </w:numPr>
        <w:pBdr>
          <w:top w:val="nil"/>
          <w:left w:val="nil"/>
          <w:bottom w:val="nil"/>
          <w:right w:val="nil"/>
          <w:between w:val="nil"/>
        </w:pBdr>
        <w:tabs>
          <w:tab w:val="left" w:pos="270"/>
        </w:tabs>
        <w:ind w:left="0" w:right="-180" w:firstLine="0"/>
        <w:jc w:val="left"/>
      </w:pPr>
      <w:r>
        <w:rPr>
          <w:rFonts w:ascii="Nunito" w:eastAsia="Nunito" w:hAnsi="Nunito" w:cs="Nunito"/>
          <w:b/>
          <w:color w:val="000000"/>
        </w:rPr>
        <w:t>Explore feelings</w:t>
      </w:r>
      <w:r>
        <w:rPr>
          <w:rFonts w:ascii="Nunito" w:eastAsia="Nunito" w:hAnsi="Nunito" w:cs="Nunito"/>
          <w:color w:val="000000"/>
        </w:rPr>
        <w:t>: “I’m noticing some tension in the room and wondering if anyone else is feeling uncomfortable?”  If a sister says something that you feel is judgmental, you might ask a general question: “Has anyone ever felt judged because of her beliefs or practices?  W</w:t>
      </w:r>
      <w:r>
        <w:rPr>
          <w:rFonts w:ascii="Nunito" w:eastAsia="Nunito" w:hAnsi="Nunito" w:cs="Nunito"/>
          <w:color w:val="000000"/>
        </w:rPr>
        <w:t xml:space="preserve">hat was that like for you?”    </w:t>
      </w:r>
    </w:p>
    <w:sectPr w:rsidR="00B04576">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B93F" w14:textId="77777777" w:rsidR="001457B7" w:rsidRDefault="001457B7">
      <w:r>
        <w:separator/>
      </w:r>
    </w:p>
  </w:endnote>
  <w:endnote w:type="continuationSeparator" w:id="0">
    <w:p w14:paraId="14B57D2B" w14:textId="77777777" w:rsidR="001457B7" w:rsidRDefault="0014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unito">
    <w:panose1 w:val="00000000000000000000"/>
    <w:charset w:val="4D"/>
    <w:family w:val="auto"/>
    <w:pitch w:val="variable"/>
    <w:sig w:usb0="A00002FF" w:usb1="5000204B" w:usb2="00000000" w:usb3="00000000" w:csb0="000001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7131" w14:textId="77777777" w:rsidR="001457B7" w:rsidRDefault="001457B7">
      <w:r>
        <w:separator/>
      </w:r>
    </w:p>
  </w:footnote>
  <w:footnote w:type="continuationSeparator" w:id="0">
    <w:p w14:paraId="5478129F" w14:textId="77777777" w:rsidR="001457B7" w:rsidRDefault="0014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0F0E" w14:textId="77777777" w:rsidR="00B04576" w:rsidRDefault="001457B7">
    <w:pPr>
      <w:pBdr>
        <w:top w:val="nil"/>
        <w:left w:val="nil"/>
        <w:bottom w:val="nil"/>
        <w:right w:val="nil"/>
        <w:between w:val="nil"/>
      </w:pBdr>
      <w:tabs>
        <w:tab w:val="center" w:pos="4680"/>
        <w:tab w:val="right" w:pos="9360"/>
      </w:tabs>
      <w:jc w:val="right"/>
      <w:rPr>
        <w:color w:val="000000"/>
      </w:rPr>
    </w:pPr>
    <w:r>
      <w:rPr>
        <w:color w:val="000000"/>
      </w:rPr>
      <w:t>Video Series One:  Difficult Conversations</w:t>
    </w:r>
  </w:p>
  <w:p w14:paraId="7DE86D0A" w14:textId="77777777" w:rsidR="00B04576" w:rsidRDefault="001457B7">
    <w:pPr>
      <w:tabs>
        <w:tab w:val="center" w:pos="4320"/>
        <w:tab w:val="right" w:pos="8640"/>
      </w:tabs>
      <w:jc w:val="right"/>
    </w:pPr>
    <w:r>
      <w:t>Module 01:  Setting Group Agreements</w:t>
    </w:r>
  </w:p>
  <w:p w14:paraId="58AC1A7B" w14:textId="77777777" w:rsidR="00B04576" w:rsidRDefault="00B04576">
    <w:pPr>
      <w:pBdr>
        <w:top w:val="nil"/>
        <w:left w:val="nil"/>
        <w:bottom w:val="nil"/>
        <w:right w:val="nil"/>
        <w:between w:val="nil"/>
      </w:pBdr>
      <w:tabs>
        <w:tab w:val="center" w:pos="4680"/>
        <w:tab w:val="right" w:pos="9360"/>
      </w:tabs>
      <w:rPr>
        <w:color w:val="000000"/>
      </w:rPr>
    </w:pPr>
  </w:p>
  <w:p w14:paraId="5D80D8A4" w14:textId="77777777" w:rsidR="00B04576" w:rsidRDefault="00B0457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53B99"/>
    <w:multiLevelType w:val="multilevel"/>
    <w:tmpl w:val="5A4CB36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B495B29"/>
    <w:multiLevelType w:val="multilevel"/>
    <w:tmpl w:val="D9DC7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9182298">
    <w:abstractNumId w:val="1"/>
  </w:num>
  <w:num w:numId="2" w16cid:durableId="1708942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576"/>
    <w:rsid w:val="001457B7"/>
    <w:rsid w:val="00B04576"/>
    <w:rsid w:val="00C0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AB26F"/>
  <w15:docId w15:val="{BE4FE403-13B7-E14E-99AD-492C182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61175"/>
    <w:rPr>
      <w:rFonts w:ascii="Tahoma" w:hAnsi="Tahoma" w:cs="Tahoma"/>
      <w:sz w:val="16"/>
      <w:szCs w:val="16"/>
    </w:rPr>
  </w:style>
  <w:style w:type="character" w:customStyle="1" w:styleId="BalloonTextChar">
    <w:name w:val="Balloon Text Char"/>
    <w:basedOn w:val="DefaultParagraphFont"/>
    <w:link w:val="BalloonText"/>
    <w:uiPriority w:val="99"/>
    <w:semiHidden/>
    <w:rsid w:val="00D61175"/>
    <w:rPr>
      <w:rFonts w:ascii="Tahoma" w:hAnsi="Tahoma" w:cs="Tahoma"/>
      <w:sz w:val="16"/>
      <w:szCs w:val="16"/>
    </w:rPr>
  </w:style>
  <w:style w:type="paragraph" w:styleId="ListParagraph">
    <w:name w:val="List Paragraph"/>
    <w:basedOn w:val="Normal"/>
    <w:uiPriority w:val="34"/>
    <w:qFormat/>
    <w:rsid w:val="00CB36EB"/>
    <w:pPr>
      <w:ind w:left="720"/>
      <w:contextualSpacing/>
    </w:pPr>
  </w:style>
  <w:style w:type="paragraph" w:styleId="Header">
    <w:name w:val="header"/>
    <w:basedOn w:val="Normal"/>
    <w:link w:val="HeaderChar"/>
    <w:uiPriority w:val="99"/>
    <w:unhideWhenUsed/>
    <w:rsid w:val="00310FD8"/>
    <w:pPr>
      <w:tabs>
        <w:tab w:val="center" w:pos="4680"/>
        <w:tab w:val="right" w:pos="9360"/>
      </w:tabs>
    </w:pPr>
  </w:style>
  <w:style w:type="character" w:customStyle="1" w:styleId="HeaderChar">
    <w:name w:val="Header Char"/>
    <w:basedOn w:val="DefaultParagraphFont"/>
    <w:link w:val="Header"/>
    <w:uiPriority w:val="99"/>
    <w:rsid w:val="00310FD8"/>
  </w:style>
  <w:style w:type="paragraph" w:styleId="Footer">
    <w:name w:val="footer"/>
    <w:basedOn w:val="Normal"/>
    <w:link w:val="FooterChar"/>
    <w:uiPriority w:val="99"/>
    <w:unhideWhenUsed/>
    <w:rsid w:val="00310FD8"/>
    <w:pPr>
      <w:tabs>
        <w:tab w:val="center" w:pos="4680"/>
        <w:tab w:val="right" w:pos="9360"/>
      </w:tabs>
    </w:pPr>
  </w:style>
  <w:style w:type="character" w:customStyle="1" w:styleId="FooterChar">
    <w:name w:val="Footer Char"/>
    <w:basedOn w:val="DefaultParagraphFont"/>
    <w:link w:val="Footer"/>
    <w:uiPriority w:val="99"/>
    <w:rsid w:val="00310FD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ZVTbUdFeJTAZWGWdUQAPO7rQgQ==">AMUW2mWyT3TM9va8JtPR0ztgloyP9zp+u3Zj2JqLfOeQVwiYrvDYGgrKFxjJHJMDTsmZGLjQMaLdbFc9Fnrgeb8I2f+8KygRXarUZnmd2t7oivMwEvAJsQFm2gjAtoCY4IPw78Tizw3C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Penn</dc:creator>
  <cp:lastModifiedBy>Zaki, Nora</cp:lastModifiedBy>
  <cp:revision>2</cp:revision>
  <dcterms:created xsi:type="dcterms:W3CDTF">2022-03-24T15:17:00Z</dcterms:created>
  <dcterms:modified xsi:type="dcterms:W3CDTF">2022-03-24T15:17:00Z</dcterms:modified>
</cp:coreProperties>
</file>