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0440" w14:textId="77777777" w:rsidR="00262F88" w:rsidRDefault="00B61B7A">
      <w:pPr>
        <w:pBdr>
          <w:bottom w:val="single" w:sz="12" w:space="1" w:color="000000"/>
        </w:pBdr>
        <w:rPr>
          <w:b/>
          <w:sz w:val="40"/>
          <w:szCs w:val="40"/>
        </w:rPr>
      </w:pPr>
      <w:bookmarkStart w:id="0" w:name="_heading=h.gjdgxs" w:colFirst="0" w:colLast="0"/>
      <w:bookmarkEnd w:id="0"/>
      <w:r>
        <w:rPr>
          <w:b/>
          <w:noProof/>
          <w:sz w:val="40"/>
          <w:szCs w:val="40"/>
        </w:rPr>
        <w:drawing>
          <wp:inline distT="114300" distB="114300" distL="114300" distR="114300" wp14:anchorId="1C752BA2" wp14:editId="561796C7">
            <wp:extent cx="1976438" cy="608135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6438" cy="6081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FBC004B" w14:textId="77777777" w:rsidR="00262F88" w:rsidRDefault="00262F88">
      <w:pPr>
        <w:pBdr>
          <w:bottom w:val="single" w:sz="12" w:space="1" w:color="000000"/>
        </w:pBdr>
        <w:jc w:val="center"/>
        <w:rPr>
          <w:b/>
        </w:rPr>
      </w:pPr>
    </w:p>
    <w:p w14:paraId="3A63E63C" w14:textId="77777777" w:rsidR="00262F88" w:rsidRDefault="00B61B7A">
      <w:pPr>
        <w:pBdr>
          <w:bottom w:val="single" w:sz="12" w:space="1" w:color="000000"/>
        </w:pBdr>
        <w:jc w:val="center"/>
        <w:rPr>
          <w:rFonts w:ascii="Nunito" w:eastAsia="Nunito" w:hAnsi="Nunito" w:cs="Nunito"/>
          <w:b/>
          <w:sz w:val="28"/>
          <w:szCs w:val="28"/>
        </w:rPr>
      </w:pPr>
      <w:r>
        <w:rPr>
          <w:rFonts w:ascii="Nunito" w:eastAsia="Nunito" w:hAnsi="Nunito" w:cs="Nunito"/>
          <w:b/>
          <w:sz w:val="28"/>
          <w:szCs w:val="28"/>
        </w:rPr>
        <w:t>Dialogue Vs. Debate</w:t>
      </w:r>
      <w:r>
        <w:rPr>
          <w:rFonts w:ascii="Nunito" w:eastAsia="Nunito" w:hAnsi="Nunito" w:cs="Nunito"/>
          <w:b/>
          <w:sz w:val="28"/>
          <w:szCs w:val="28"/>
          <w:vertAlign w:val="superscript"/>
        </w:rPr>
        <w:footnoteReference w:id="1"/>
      </w:r>
    </w:p>
    <w:p w14:paraId="25844CFD" w14:textId="77777777" w:rsidR="00262F88" w:rsidRDefault="00262F88">
      <w:pPr>
        <w:rPr>
          <w:rFonts w:ascii="Nunito" w:eastAsia="Nunito" w:hAnsi="Nunito" w:cs="Nunito"/>
          <w:b/>
          <w:sz w:val="28"/>
          <w:szCs w:val="28"/>
        </w:rPr>
      </w:pPr>
    </w:p>
    <w:p w14:paraId="5F8A3A6F" w14:textId="77777777" w:rsidR="00262F88" w:rsidRDefault="00262F88">
      <w:pPr>
        <w:rPr>
          <w:rFonts w:ascii="Nunito" w:eastAsia="Nunito" w:hAnsi="Nunito" w:cs="Nunito"/>
          <w:b/>
          <w:sz w:val="28"/>
          <w:szCs w:val="28"/>
        </w:rPr>
      </w:pPr>
    </w:p>
    <w:tbl>
      <w:tblPr>
        <w:tblStyle w:val="a"/>
        <w:tblW w:w="981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860"/>
      </w:tblGrid>
      <w:tr w:rsidR="00262F88" w14:paraId="4F7B155F" w14:textId="77777777">
        <w:tc>
          <w:tcPr>
            <w:tcW w:w="4950" w:type="dxa"/>
          </w:tcPr>
          <w:p w14:paraId="54F09AD3" w14:textId="77777777" w:rsidR="00262F88" w:rsidRDefault="00B61B7A">
            <w:pPr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>Dialogue</w:t>
            </w:r>
          </w:p>
        </w:tc>
        <w:tc>
          <w:tcPr>
            <w:tcW w:w="4860" w:type="dxa"/>
          </w:tcPr>
          <w:p w14:paraId="2D707D13" w14:textId="77777777" w:rsidR="00262F88" w:rsidRDefault="00B61B7A">
            <w:pPr>
              <w:rPr>
                <w:rFonts w:ascii="Nunito" w:eastAsia="Nunito" w:hAnsi="Nunito" w:cs="Nunito"/>
                <w:b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>Debate</w:t>
            </w:r>
          </w:p>
        </w:tc>
      </w:tr>
      <w:tr w:rsidR="00262F88" w14:paraId="40B6BB79" w14:textId="77777777">
        <w:tc>
          <w:tcPr>
            <w:tcW w:w="4950" w:type="dxa"/>
          </w:tcPr>
          <w:p w14:paraId="3FEFC4B0" w14:textId="77777777" w:rsidR="00262F88" w:rsidRDefault="00262F88">
            <w:pPr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14:paraId="6C597258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>Goal: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To seek mutual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understanding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through use of carefully crafted questions.</w:t>
            </w:r>
          </w:p>
          <w:p w14:paraId="3E849514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F57E486" w14:textId="77777777" w:rsidR="00262F88" w:rsidRDefault="00262F88">
            <w:pPr>
              <w:rPr>
                <w:rFonts w:ascii="Nunito" w:eastAsia="Nunito" w:hAnsi="Nunito" w:cs="Nunito"/>
                <w:b/>
                <w:sz w:val="28"/>
                <w:szCs w:val="28"/>
              </w:rPr>
            </w:pPr>
          </w:p>
          <w:p w14:paraId="69E6D4B9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b/>
                <w:sz w:val="28"/>
                <w:szCs w:val="28"/>
              </w:rPr>
              <w:t>Goal: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To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win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. Attempt to prove the other side wrong. </w:t>
            </w:r>
          </w:p>
          <w:p w14:paraId="577BBAB6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</w:tr>
      <w:tr w:rsidR="00262F88" w14:paraId="72000294" w14:textId="77777777">
        <w:tc>
          <w:tcPr>
            <w:tcW w:w="4950" w:type="dxa"/>
          </w:tcPr>
          <w:p w14:paraId="3D42E540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Helps people to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re-examine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positions and assumptions.</w:t>
            </w:r>
          </w:p>
          <w:p w14:paraId="4A61AF5A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090E724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Requires that people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defend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their positions and assumptions.</w:t>
            </w:r>
          </w:p>
        </w:tc>
      </w:tr>
      <w:tr w:rsidR="00262F88" w14:paraId="54A0D1B8" w14:textId="77777777">
        <w:tc>
          <w:tcPr>
            <w:tcW w:w="4950" w:type="dxa"/>
          </w:tcPr>
          <w:p w14:paraId="056FD1F1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Use listening to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gain insight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into beliefs and concerns of others.</w:t>
            </w:r>
          </w:p>
          <w:p w14:paraId="2DD5CCDD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  <w:tc>
          <w:tcPr>
            <w:tcW w:w="4860" w:type="dxa"/>
          </w:tcPr>
          <w:p w14:paraId="7E210A9B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Use listening to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find flaws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and make counter arguments.</w:t>
            </w:r>
          </w:p>
        </w:tc>
      </w:tr>
      <w:tr w:rsidR="00262F88" w14:paraId="531435B7" w14:textId="77777777">
        <w:tc>
          <w:tcPr>
            <w:tcW w:w="4950" w:type="dxa"/>
          </w:tcPr>
          <w:p w14:paraId="389A71F6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Pre-meeting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communication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 xml:space="preserve">essential </w:t>
            </w:r>
            <w:r>
              <w:rPr>
                <w:rFonts w:ascii="Nunito" w:eastAsia="Nunito" w:hAnsi="Nunito" w:cs="Nunito"/>
                <w:sz w:val="28"/>
                <w:szCs w:val="28"/>
              </w:rPr>
              <w:t>to process.</w:t>
            </w:r>
          </w:p>
          <w:p w14:paraId="1812B659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  <w:tc>
          <w:tcPr>
            <w:tcW w:w="4860" w:type="dxa"/>
          </w:tcPr>
          <w:p w14:paraId="20EA2EDA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Pre-meeting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communication is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minimal</w:t>
            </w:r>
            <w:r>
              <w:rPr>
                <w:rFonts w:ascii="Nunito" w:eastAsia="Nunito" w:hAnsi="Nunito" w:cs="Nunito"/>
                <w:sz w:val="28"/>
                <w:szCs w:val="28"/>
              </w:rPr>
              <w:t>.</w:t>
            </w:r>
          </w:p>
        </w:tc>
      </w:tr>
      <w:tr w:rsidR="00262F88" w14:paraId="7732A9FA" w14:textId="77777777">
        <w:tc>
          <w:tcPr>
            <w:tcW w:w="4950" w:type="dxa"/>
          </w:tcPr>
          <w:p w14:paraId="495D8320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Participants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speak as individuals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with unique experiences </w:t>
            </w:r>
          </w:p>
          <w:p w14:paraId="237C2DB5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  <w:tc>
          <w:tcPr>
            <w:tcW w:w="4860" w:type="dxa"/>
          </w:tcPr>
          <w:p w14:paraId="6DF22C61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Participants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speak as representatives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of groups.</w:t>
            </w:r>
          </w:p>
          <w:p w14:paraId="7E9D64D8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</w:tr>
      <w:tr w:rsidR="00262F88" w14:paraId="3946EE8E" w14:textId="77777777">
        <w:tc>
          <w:tcPr>
            <w:tcW w:w="4950" w:type="dxa"/>
          </w:tcPr>
          <w:p w14:paraId="6DAFD13B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Assume that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many people have pieces to the answer.</w:t>
            </w:r>
          </w:p>
          <w:p w14:paraId="0CFAB68E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  <w:tc>
          <w:tcPr>
            <w:tcW w:w="4860" w:type="dxa"/>
          </w:tcPr>
          <w:p w14:paraId="093A0B47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  <w:u w:val="single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Assume that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there is a right answer.</w:t>
            </w:r>
          </w:p>
          <w:p w14:paraId="12CF6449" w14:textId="77777777" w:rsidR="00262F88" w:rsidRDefault="00262F88">
            <w:pPr>
              <w:rPr>
                <w:rFonts w:ascii="Nunito" w:eastAsia="Nunito" w:hAnsi="Nunito" w:cs="Nunito"/>
                <w:sz w:val="28"/>
                <w:szCs w:val="28"/>
              </w:rPr>
            </w:pPr>
          </w:p>
        </w:tc>
      </w:tr>
      <w:tr w:rsidR="00262F88" w14:paraId="21ECD21C" w14:textId="77777777">
        <w:tc>
          <w:tcPr>
            <w:tcW w:w="4950" w:type="dxa"/>
          </w:tcPr>
          <w:p w14:paraId="713A939A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Participants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express uncertainty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as well as deeply held beliefs.</w:t>
            </w:r>
          </w:p>
        </w:tc>
        <w:tc>
          <w:tcPr>
            <w:tcW w:w="4860" w:type="dxa"/>
          </w:tcPr>
          <w:p w14:paraId="6F3D68DD" w14:textId="77777777" w:rsidR="00262F88" w:rsidRDefault="00B61B7A">
            <w:pPr>
              <w:rPr>
                <w:rFonts w:ascii="Nunito" w:eastAsia="Nunito" w:hAnsi="Nunito" w:cs="Nunito"/>
                <w:sz w:val="28"/>
                <w:szCs w:val="28"/>
              </w:rPr>
            </w:pPr>
            <w:r>
              <w:rPr>
                <w:rFonts w:ascii="Nunito" w:eastAsia="Nunito" w:hAnsi="Nunito" w:cs="Nunito"/>
                <w:sz w:val="28"/>
                <w:szCs w:val="28"/>
              </w:rPr>
              <w:t xml:space="preserve">Participants express </w:t>
            </w:r>
            <w:r>
              <w:rPr>
                <w:rFonts w:ascii="Nunito" w:eastAsia="Nunito" w:hAnsi="Nunito" w:cs="Nunito"/>
                <w:sz w:val="28"/>
                <w:szCs w:val="28"/>
                <w:u w:val="single"/>
              </w:rPr>
              <w:t>total commitment</w:t>
            </w:r>
            <w:r>
              <w:rPr>
                <w:rFonts w:ascii="Nunito" w:eastAsia="Nunito" w:hAnsi="Nunito" w:cs="Nunito"/>
                <w:sz w:val="28"/>
                <w:szCs w:val="28"/>
              </w:rPr>
              <w:t xml:space="preserve"> to their point of view.</w:t>
            </w:r>
          </w:p>
        </w:tc>
      </w:tr>
    </w:tbl>
    <w:p w14:paraId="15453E56" w14:textId="77777777" w:rsidR="00262F88" w:rsidRDefault="00262F88">
      <w:pPr>
        <w:rPr>
          <w:rFonts w:ascii="Nunito" w:eastAsia="Nunito" w:hAnsi="Nunito" w:cs="Nunito"/>
          <w:b/>
        </w:rPr>
      </w:pPr>
    </w:p>
    <w:sectPr w:rsidR="00262F88">
      <w:headerReference w:type="default" r:id="rId8"/>
      <w:pgSz w:w="12240" w:h="15840"/>
      <w:pgMar w:top="864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1D7B" w14:textId="77777777" w:rsidR="00B61B7A" w:rsidRDefault="00B61B7A">
      <w:r>
        <w:separator/>
      </w:r>
    </w:p>
  </w:endnote>
  <w:endnote w:type="continuationSeparator" w:id="0">
    <w:p w14:paraId="51C8ABDE" w14:textId="77777777" w:rsidR="00B61B7A" w:rsidRDefault="00B6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unito">
    <w:panose1 w:val="00000000000000000000"/>
    <w:charset w:val="4D"/>
    <w:family w:val="auto"/>
    <w:pitch w:val="variable"/>
    <w:sig w:usb0="A00002FF" w:usb1="5000204B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33A51" w14:textId="77777777" w:rsidR="00B61B7A" w:rsidRDefault="00B61B7A">
      <w:r>
        <w:separator/>
      </w:r>
    </w:p>
  </w:footnote>
  <w:footnote w:type="continuationSeparator" w:id="0">
    <w:p w14:paraId="1E8D6905" w14:textId="77777777" w:rsidR="00B61B7A" w:rsidRDefault="00B61B7A">
      <w:r>
        <w:continuationSeparator/>
      </w:r>
    </w:p>
  </w:footnote>
  <w:footnote w:id="1">
    <w:p w14:paraId="0C57C7B0" w14:textId="77777777" w:rsidR="00262F88" w:rsidRDefault="00B61B7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rStyle w:val="FootnoteReference"/>
        </w:rPr>
        <w:footnoteRef/>
      </w:r>
      <w:r>
        <w:rPr>
          <w:color w:val="000000"/>
          <w:sz w:val="20"/>
          <w:szCs w:val="20"/>
        </w:rPr>
        <w:t xml:space="preserve"> Adapted from Fostering Dialogue Across </w:t>
      </w:r>
      <w:proofErr w:type="gramStart"/>
      <w:r>
        <w:rPr>
          <w:color w:val="000000"/>
          <w:sz w:val="20"/>
          <w:szCs w:val="20"/>
        </w:rPr>
        <w:t>Divides,  Public</w:t>
      </w:r>
      <w:proofErr w:type="gramEnd"/>
      <w:r>
        <w:rPr>
          <w:color w:val="000000"/>
          <w:sz w:val="20"/>
          <w:szCs w:val="20"/>
        </w:rPr>
        <w:t xml:space="preserve"> Conversations Project, Maggie Herzig and Laura </w:t>
      </w:r>
      <w:proofErr w:type="spellStart"/>
      <w:r>
        <w:rPr>
          <w:color w:val="000000"/>
          <w:sz w:val="20"/>
          <w:szCs w:val="20"/>
        </w:rPr>
        <w:t>Chasin</w:t>
      </w:r>
      <w:proofErr w:type="spellEnd"/>
      <w:r>
        <w:rPr>
          <w:color w:val="000000"/>
          <w:sz w:val="20"/>
          <w:szCs w:val="20"/>
        </w:rPr>
        <w:t>, p. 139.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8F5FE" w14:textId="77777777" w:rsidR="00262F88" w:rsidRDefault="00B61B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Nunito" w:eastAsia="Nunito" w:hAnsi="Nunito" w:cs="Nunito"/>
        <w:color w:val="000000"/>
      </w:rPr>
    </w:pPr>
    <w:r>
      <w:rPr>
        <w:rFonts w:ascii="Nunito" w:eastAsia="Nunito" w:hAnsi="Nunito" w:cs="Nunito"/>
        <w:color w:val="000000"/>
      </w:rPr>
      <w:t>Series One:  Engaging in Difficult Conversations</w:t>
    </w:r>
  </w:p>
  <w:p w14:paraId="75A1E44B" w14:textId="77777777" w:rsidR="00262F88" w:rsidRDefault="00B61B7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Nunito" w:eastAsia="Nunito" w:hAnsi="Nunito" w:cs="Nunito"/>
        <w:color w:val="000000"/>
      </w:rPr>
    </w:pPr>
    <w:r>
      <w:rPr>
        <w:rFonts w:ascii="Nunito" w:eastAsia="Nunito" w:hAnsi="Nunito" w:cs="Nunito"/>
        <w:color w:val="000000"/>
      </w:rPr>
      <w:t>Module five:  Dialogue</w:t>
    </w:r>
  </w:p>
  <w:p w14:paraId="5EBFF4F9" w14:textId="77777777" w:rsidR="00262F88" w:rsidRDefault="00262F8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88"/>
    <w:rsid w:val="000F189D"/>
    <w:rsid w:val="00262F88"/>
    <w:rsid w:val="00B6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A34B0"/>
  <w15:docId w15:val="{BE4FE403-13B7-E14E-99AD-492C18209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84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rsid w:val="0046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46E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646EE"/>
    <w:rPr>
      <w:color w:val="0000FF"/>
      <w:u w:val="single"/>
    </w:rPr>
  </w:style>
  <w:style w:type="table" w:styleId="TableGrid">
    <w:name w:val="Table Grid"/>
    <w:basedOn w:val="TableNormal"/>
    <w:rsid w:val="00BC2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AE5CCA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346B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46B7"/>
  </w:style>
  <w:style w:type="character" w:styleId="FootnoteReference">
    <w:name w:val="footnote reference"/>
    <w:basedOn w:val="DefaultParagraphFont"/>
    <w:uiPriority w:val="99"/>
    <w:semiHidden/>
    <w:unhideWhenUsed/>
    <w:rsid w:val="00C346B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A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AB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A42F7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yAFSVwXwFktuetmIe7gVPitZRA==">AMUW2mWZNHWSaT5I+nzBa3hYZGVcMGtNtOE5CFLWCyZ3Ap4qxMQ6TSmMIQG+HpfWnXfmkjO8Yzigl9xv7oyRj8PqFWczvezl6pje/i7/B+9Dcp6ibgeXCdoTfABH2uZHzhs/GIgcYmQJ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Penn</dc:creator>
  <cp:lastModifiedBy>Zaki, Nora</cp:lastModifiedBy>
  <cp:revision>2</cp:revision>
  <dcterms:created xsi:type="dcterms:W3CDTF">2022-03-24T15:05:00Z</dcterms:created>
  <dcterms:modified xsi:type="dcterms:W3CDTF">2022-03-24T15:05:00Z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-1790891411</vt:i4>
  </property>
  <property fmtid="{D5CDD505-2E9C-101B-9397-08002B2CF9AE}" pid="3" name="_EmailSubject">
    <vt:lpwstr>Dialogue</vt:lpwstr>
  </property>
  <property fmtid="{D5CDD505-2E9C-101B-9397-08002B2CF9AE}" pid="4" name="_AuthorEmail">
    <vt:lpwstr>maytolub@verizon.net</vt:lpwstr>
  </property>
  <property fmtid="{D5CDD505-2E9C-101B-9397-08002B2CF9AE}" pid="5" name="_AuthorEmailDisplayName">
    <vt:lpwstr>Tabitha May-Tolub</vt:lpwstr>
  </property>
  <property fmtid="{D5CDD505-2E9C-101B-9397-08002B2CF9AE}" pid="6" name="_ReviewingToolsShownOnce">
    <vt:lpwstr/>
  </property>
</Properties>
</file>