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8184" w14:textId="77777777" w:rsidR="00B17C1E" w:rsidRDefault="000567E7">
      <w:pPr>
        <w:rPr>
          <w:b/>
        </w:rPr>
      </w:pPr>
      <w:r>
        <w:rPr>
          <w:noProof/>
        </w:rPr>
        <w:drawing>
          <wp:inline distT="114300" distB="114300" distL="114300" distR="114300" wp14:anchorId="21C4280B" wp14:editId="7D40DF5F">
            <wp:extent cx="1766888" cy="54365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66888" cy="543658"/>
                    </a:xfrm>
                    <a:prstGeom prst="rect">
                      <a:avLst/>
                    </a:prstGeom>
                    <a:ln/>
                  </pic:spPr>
                </pic:pic>
              </a:graphicData>
            </a:graphic>
          </wp:inline>
        </w:drawing>
      </w:r>
    </w:p>
    <w:p w14:paraId="068E9832" w14:textId="77777777" w:rsidR="00B17C1E" w:rsidRDefault="00B17C1E">
      <w:pPr>
        <w:jc w:val="center"/>
        <w:rPr>
          <w:b/>
        </w:rPr>
      </w:pPr>
    </w:p>
    <w:p w14:paraId="27717794" w14:textId="77777777" w:rsidR="00B17C1E" w:rsidRDefault="000567E7">
      <w:pPr>
        <w:jc w:val="center"/>
        <w:rPr>
          <w:rFonts w:ascii="Nunito" w:eastAsia="Nunito" w:hAnsi="Nunito" w:cs="Nunito"/>
          <w:b/>
        </w:rPr>
      </w:pPr>
      <w:bookmarkStart w:id="0" w:name="_heading=h.gjdgxs" w:colFirst="0" w:colLast="0"/>
      <w:bookmarkEnd w:id="0"/>
      <w:r>
        <w:rPr>
          <w:rFonts w:ascii="Nunito" w:eastAsia="Nunito" w:hAnsi="Nunito" w:cs="Nunito"/>
          <w:b/>
        </w:rPr>
        <w:t>Tips for Crafting Great Questions</w:t>
      </w:r>
      <w:r>
        <w:rPr>
          <w:rFonts w:ascii="Nunito" w:eastAsia="Nunito" w:hAnsi="Nunito" w:cs="Nunito"/>
          <w:b/>
          <w:vertAlign w:val="superscript"/>
        </w:rPr>
        <w:footnoteReference w:id="1"/>
      </w:r>
    </w:p>
    <w:p w14:paraId="47053232" w14:textId="77777777" w:rsidR="00B17C1E" w:rsidRDefault="00B17C1E">
      <w:pPr>
        <w:jc w:val="center"/>
        <w:rPr>
          <w:rFonts w:ascii="Nunito" w:eastAsia="Nunito" w:hAnsi="Nunito" w:cs="Nunito"/>
          <w:b/>
        </w:rPr>
      </w:pPr>
    </w:p>
    <w:p w14:paraId="2D63824E" w14:textId="77777777" w:rsidR="00B17C1E" w:rsidRDefault="000567E7">
      <w:pPr>
        <w:rPr>
          <w:rFonts w:ascii="Nunito" w:eastAsia="Nunito" w:hAnsi="Nunito" w:cs="Nunito"/>
          <w:b/>
        </w:rPr>
      </w:pPr>
      <w:r>
        <w:rPr>
          <w:rFonts w:ascii="Nunito" w:eastAsia="Nunito" w:hAnsi="Nunito" w:cs="Nunito"/>
          <w:b/>
        </w:rPr>
        <w:t>Goal:  To create questions that elicit new understanding, especially when you don’t agree.</w:t>
      </w:r>
    </w:p>
    <w:p w14:paraId="5D8AB184" w14:textId="77777777" w:rsidR="00B17C1E" w:rsidRDefault="00B17C1E">
      <w:pPr>
        <w:rPr>
          <w:rFonts w:ascii="Nunito" w:eastAsia="Nunito" w:hAnsi="Nunito" w:cs="Nunito"/>
          <w:b/>
        </w:rPr>
      </w:pPr>
    </w:p>
    <w:p w14:paraId="2CC90439" w14:textId="77777777" w:rsidR="00B17C1E" w:rsidRDefault="000567E7">
      <w:pPr>
        <w:rPr>
          <w:rFonts w:ascii="Nunito" w:eastAsia="Nunito" w:hAnsi="Nunito" w:cs="Nunito"/>
        </w:rPr>
      </w:pPr>
      <w:r>
        <w:rPr>
          <w:rFonts w:ascii="Nunito" w:eastAsia="Nunito" w:hAnsi="Nunito" w:cs="Nunito"/>
          <w:b/>
        </w:rPr>
        <w:t xml:space="preserve">Introduction:  </w:t>
      </w:r>
      <w:r>
        <w:rPr>
          <w:rFonts w:ascii="Nunito" w:eastAsia="Nunito" w:hAnsi="Nunito" w:cs="Nunito"/>
        </w:rPr>
        <w:t>There are so many questions that might spark meaningful conversation, it can be difficult to know where to begin.   So, consider beginning at the end!  Your dialogue or meeting just ended and it was spectacular.  You exceeded your goal and hopes. What happ</w:t>
      </w:r>
      <w:r>
        <w:rPr>
          <w:rFonts w:ascii="Nunito" w:eastAsia="Nunito" w:hAnsi="Nunito" w:cs="Nunito"/>
        </w:rPr>
        <w:t xml:space="preserve">ened?  Did any questions elicit, “oh, I hadn’t thought of that before; that’s really interesting?”  Did any questions help you gain a new understanding of someone’s experiences or values?  Those are the questions that you’re looking for!  </w:t>
      </w:r>
    </w:p>
    <w:p w14:paraId="36B3CE6E" w14:textId="77777777" w:rsidR="00B17C1E" w:rsidRDefault="00B17C1E">
      <w:pPr>
        <w:rPr>
          <w:rFonts w:ascii="Nunito" w:eastAsia="Nunito" w:hAnsi="Nunito" w:cs="Nunito"/>
        </w:rPr>
      </w:pPr>
    </w:p>
    <w:p w14:paraId="2B0335FE" w14:textId="77777777" w:rsidR="00B17C1E" w:rsidRDefault="000567E7">
      <w:pPr>
        <w:rPr>
          <w:rFonts w:ascii="Nunito" w:eastAsia="Nunito" w:hAnsi="Nunito" w:cs="Nunito"/>
        </w:rPr>
      </w:pPr>
      <w:r>
        <w:rPr>
          <w:rFonts w:ascii="Nunito" w:eastAsia="Nunito" w:hAnsi="Nunito" w:cs="Nunito"/>
        </w:rPr>
        <w:t>To simplify you</w:t>
      </w:r>
      <w:r>
        <w:rPr>
          <w:rFonts w:ascii="Nunito" w:eastAsia="Nunito" w:hAnsi="Nunito" w:cs="Nunito"/>
        </w:rPr>
        <w:t>r process, it can be helpful to explore three categories of questions, in this order:</w:t>
      </w:r>
    </w:p>
    <w:p w14:paraId="353B178F" w14:textId="77777777" w:rsidR="00B17C1E" w:rsidRDefault="00B17C1E">
      <w:pPr>
        <w:rPr>
          <w:rFonts w:ascii="Nunito" w:eastAsia="Nunito" w:hAnsi="Nunito" w:cs="Nunito"/>
        </w:rPr>
      </w:pPr>
    </w:p>
    <w:p w14:paraId="37038AF6" w14:textId="77777777" w:rsidR="00B17C1E" w:rsidRDefault="000567E7">
      <w:pPr>
        <w:numPr>
          <w:ilvl w:val="0"/>
          <w:numId w:val="2"/>
        </w:numPr>
        <w:pBdr>
          <w:top w:val="nil"/>
          <w:left w:val="nil"/>
          <w:bottom w:val="nil"/>
          <w:right w:val="nil"/>
          <w:between w:val="nil"/>
        </w:pBdr>
        <w:rPr>
          <w:rFonts w:ascii="Nunito" w:eastAsia="Nunito" w:hAnsi="Nunito" w:cs="Nunito"/>
        </w:rPr>
      </w:pPr>
      <w:r>
        <w:rPr>
          <w:rFonts w:ascii="Nunito" w:eastAsia="Nunito" w:hAnsi="Nunito" w:cs="Nunito"/>
          <w:color w:val="000000"/>
        </w:rPr>
        <w:t>Personal life experiences</w:t>
      </w:r>
    </w:p>
    <w:p w14:paraId="1DF6DA2F" w14:textId="77777777" w:rsidR="00B17C1E" w:rsidRDefault="000567E7">
      <w:pPr>
        <w:numPr>
          <w:ilvl w:val="0"/>
          <w:numId w:val="2"/>
        </w:numPr>
        <w:pBdr>
          <w:top w:val="nil"/>
          <w:left w:val="nil"/>
          <w:bottom w:val="nil"/>
          <w:right w:val="nil"/>
          <w:between w:val="nil"/>
        </w:pBdr>
        <w:rPr>
          <w:rFonts w:ascii="Nunito" w:eastAsia="Nunito" w:hAnsi="Nunito" w:cs="Nunito"/>
        </w:rPr>
      </w:pPr>
      <w:r>
        <w:rPr>
          <w:rFonts w:ascii="Nunito" w:eastAsia="Nunito" w:hAnsi="Nunito" w:cs="Nunito"/>
          <w:color w:val="000000"/>
        </w:rPr>
        <w:t>Values, hopes, and fears</w:t>
      </w:r>
    </w:p>
    <w:p w14:paraId="221CF63F" w14:textId="77777777" w:rsidR="00B17C1E" w:rsidRDefault="000567E7">
      <w:pPr>
        <w:numPr>
          <w:ilvl w:val="0"/>
          <w:numId w:val="2"/>
        </w:numPr>
        <w:pBdr>
          <w:top w:val="nil"/>
          <w:left w:val="nil"/>
          <w:bottom w:val="nil"/>
          <w:right w:val="nil"/>
          <w:between w:val="nil"/>
        </w:pBdr>
        <w:rPr>
          <w:rFonts w:ascii="Nunito" w:eastAsia="Nunito" w:hAnsi="Nunito" w:cs="Nunito"/>
        </w:rPr>
      </w:pPr>
      <w:r>
        <w:rPr>
          <w:rFonts w:ascii="Nunito" w:eastAsia="Nunito" w:hAnsi="Nunito" w:cs="Nunito"/>
          <w:color w:val="000000"/>
        </w:rPr>
        <w:t>Doubt and uncertainty</w:t>
      </w:r>
    </w:p>
    <w:p w14:paraId="4C1F9911" w14:textId="77777777" w:rsidR="00B17C1E" w:rsidRDefault="00B17C1E">
      <w:pPr>
        <w:rPr>
          <w:rFonts w:ascii="Nunito" w:eastAsia="Nunito" w:hAnsi="Nunito" w:cs="Nunito"/>
        </w:rPr>
      </w:pPr>
    </w:p>
    <w:p w14:paraId="733FF445" w14:textId="77777777" w:rsidR="00B17C1E" w:rsidRDefault="000567E7">
      <w:pPr>
        <w:rPr>
          <w:rFonts w:ascii="Nunito" w:eastAsia="Nunito" w:hAnsi="Nunito" w:cs="Nunito"/>
        </w:rPr>
      </w:pPr>
      <w:r>
        <w:rPr>
          <w:rFonts w:ascii="Nunito" w:eastAsia="Nunito" w:hAnsi="Nunito" w:cs="Nunito"/>
        </w:rPr>
        <w:t xml:space="preserve">Below are some examples of questions in these three categories. Fill in the blank; they can be </w:t>
      </w:r>
      <w:r>
        <w:rPr>
          <w:rFonts w:ascii="Nunito" w:eastAsia="Nunito" w:hAnsi="Nunito" w:cs="Nunito"/>
        </w:rPr>
        <w:t>used for virtually any topic:</w:t>
      </w:r>
    </w:p>
    <w:p w14:paraId="778AE5C3" w14:textId="77777777" w:rsidR="00B17C1E" w:rsidRDefault="00B17C1E">
      <w:pPr>
        <w:rPr>
          <w:rFonts w:ascii="Nunito" w:eastAsia="Nunito" w:hAnsi="Nunito" w:cs="Nunito"/>
        </w:rPr>
      </w:pPr>
    </w:p>
    <w:p w14:paraId="269D5CDB" w14:textId="77777777" w:rsidR="00B17C1E" w:rsidRDefault="000567E7">
      <w:pPr>
        <w:numPr>
          <w:ilvl w:val="0"/>
          <w:numId w:val="3"/>
        </w:numPr>
        <w:pBdr>
          <w:top w:val="nil"/>
          <w:left w:val="nil"/>
          <w:bottom w:val="nil"/>
          <w:right w:val="nil"/>
          <w:between w:val="nil"/>
        </w:pBdr>
        <w:rPr>
          <w:rFonts w:ascii="Nunito" w:eastAsia="Nunito" w:hAnsi="Nunito" w:cs="Nunito"/>
          <w:b/>
          <w:color w:val="000000"/>
        </w:rPr>
      </w:pPr>
      <w:r>
        <w:rPr>
          <w:rFonts w:ascii="Nunito" w:eastAsia="Nunito" w:hAnsi="Nunito" w:cs="Nunito"/>
          <w:b/>
          <w:color w:val="000000"/>
        </w:rPr>
        <w:t>A person’s life experience</w:t>
      </w:r>
    </w:p>
    <w:p w14:paraId="7E001080"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 xml:space="preserve"> “What is the meaning of (fill in the blank) in your life?”</w:t>
      </w:r>
    </w:p>
    <w:p w14:paraId="6386019F"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“What/who has shaped your perspective or belief?”</w:t>
      </w:r>
    </w:p>
    <w:p w14:paraId="26F92C2C"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 xml:space="preserve"> “Can you tell me more about what (fill in the blank) means to you?”</w:t>
      </w:r>
    </w:p>
    <w:p w14:paraId="40204DAE" w14:textId="77777777" w:rsidR="00B17C1E" w:rsidRDefault="00B17C1E">
      <w:pPr>
        <w:pBdr>
          <w:top w:val="nil"/>
          <w:left w:val="nil"/>
          <w:bottom w:val="nil"/>
          <w:right w:val="nil"/>
          <w:between w:val="nil"/>
        </w:pBdr>
        <w:ind w:left="1492"/>
        <w:rPr>
          <w:rFonts w:ascii="Nunito" w:eastAsia="Nunito" w:hAnsi="Nunito" w:cs="Nunito"/>
          <w:color w:val="000000"/>
        </w:rPr>
      </w:pPr>
    </w:p>
    <w:p w14:paraId="3250E0CE" w14:textId="77777777" w:rsidR="00B17C1E" w:rsidRDefault="000567E7">
      <w:pPr>
        <w:numPr>
          <w:ilvl w:val="0"/>
          <w:numId w:val="3"/>
        </w:numPr>
        <w:pBdr>
          <w:top w:val="nil"/>
          <w:left w:val="nil"/>
          <w:bottom w:val="nil"/>
          <w:right w:val="nil"/>
          <w:between w:val="nil"/>
        </w:pBdr>
        <w:rPr>
          <w:rFonts w:ascii="Nunito" w:eastAsia="Nunito" w:hAnsi="Nunito" w:cs="Nunito"/>
          <w:b/>
          <w:color w:val="000000"/>
        </w:rPr>
      </w:pPr>
      <w:r>
        <w:rPr>
          <w:rFonts w:ascii="Nunito" w:eastAsia="Nunito" w:hAnsi="Nunito" w:cs="Nunito"/>
          <w:b/>
          <w:color w:val="000000"/>
        </w:rPr>
        <w:t>The “heart of the matter”</w:t>
      </w:r>
    </w:p>
    <w:p w14:paraId="63CD1B72"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“When you think of (fill in the blank) what is most important to you?</w:t>
      </w:r>
    </w:p>
    <w:p w14:paraId="4EA2D1BC"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“Have your values and beliefs about (fill in the blank) changed over time?</w:t>
      </w:r>
    </w:p>
    <w:p w14:paraId="5754F3A9"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“What are your hopes and fears, both now and for the future?”</w:t>
      </w:r>
    </w:p>
    <w:p w14:paraId="7114767B" w14:textId="77777777" w:rsidR="00B17C1E" w:rsidRDefault="00B17C1E">
      <w:pPr>
        <w:pBdr>
          <w:top w:val="nil"/>
          <w:left w:val="nil"/>
          <w:bottom w:val="nil"/>
          <w:right w:val="nil"/>
          <w:between w:val="nil"/>
        </w:pBdr>
        <w:ind w:left="1492"/>
        <w:rPr>
          <w:rFonts w:ascii="Nunito" w:eastAsia="Nunito" w:hAnsi="Nunito" w:cs="Nunito"/>
          <w:color w:val="000000"/>
        </w:rPr>
      </w:pPr>
    </w:p>
    <w:p w14:paraId="39122F97" w14:textId="77777777" w:rsidR="00B17C1E" w:rsidRDefault="000567E7">
      <w:pPr>
        <w:numPr>
          <w:ilvl w:val="0"/>
          <w:numId w:val="3"/>
        </w:numPr>
        <w:pBdr>
          <w:top w:val="nil"/>
          <w:left w:val="nil"/>
          <w:bottom w:val="nil"/>
          <w:right w:val="nil"/>
          <w:between w:val="nil"/>
        </w:pBdr>
        <w:rPr>
          <w:rFonts w:ascii="Nunito" w:eastAsia="Nunito" w:hAnsi="Nunito" w:cs="Nunito"/>
          <w:b/>
          <w:color w:val="000000"/>
        </w:rPr>
      </w:pPr>
      <w:r>
        <w:rPr>
          <w:rFonts w:ascii="Nunito" w:eastAsia="Nunito" w:hAnsi="Nunito" w:cs="Nunito"/>
          <w:b/>
          <w:color w:val="000000"/>
        </w:rPr>
        <w:t>Any areas of doubt or uncertainty.</w:t>
      </w:r>
    </w:p>
    <w:p w14:paraId="09B884B5"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“Is there an important value that you hold around (</w:t>
      </w:r>
      <w:r>
        <w:rPr>
          <w:rFonts w:ascii="Nunito" w:eastAsia="Nunito" w:hAnsi="Nunito" w:cs="Nunito"/>
          <w:color w:val="000000"/>
          <w:u w:val="single"/>
        </w:rPr>
        <w:t>fill in the blank</w:t>
      </w:r>
      <w:r>
        <w:rPr>
          <w:rFonts w:ascii="Nunito" w:eastAsia="Nunito" w:hAnsi="Nunito" w:cs="Nunito"/>
          <w:color w:val="000000"/>
        </w:rPr>
        <w:t>) that may conf</w:t>
      </w:r>
      <w:r>
        <w:rPr>
          <w:rFonts w:ascii="Nunito" w:eastAsia="Nunito" w:hAnsi="Nunito" w:cs="Nunito"/>
          <w:color w:val="000000"/>
        </w:rPr>
        <w:t>lict with another value that is also important to you?”</w:t>
      </w:r>
    </w:p>
    <w:p w14:paraId="06C7C6DC"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“Can you think of a time when you felt discomfort as you explored a deeply held belief about (fill in the blank)?”</w:t>
      </w:r>
    </w:p>
    <w:p w14:paraId="392494C1" w14:textId="77777777" w:rsidR="00B17C1E" w:rsidRDefault="000567E7">
      <w:pPr>
        <w:numPr>
          <w:ilvl w:val="1"/>
          <w:numId w:val="3"/>
        </w:numPr>
        <w:pBdr>
          <w:top w:val="nil"/>
          <w:left w:val="nil"/>
          <w:bottom w:val="nil"/>
          <w:right w:val="nil"/>
          <w:between w:val="nil"/>
        </w:pBdr>
        <w:rPr>
          <w:rFonts w:ascii="Nunito" w:eastAsia="Nunito" w:hAnsi="Nunito" w:cs="Nunito"/>
        </w:rPr>
      </w:pPr>
      <w:r>
        <w:rPr>
          <w:rFonts w:ascii="Nunito" w:eastAsia="Nunito" w:hAnsi="Nunito" w:cs="Nunito"/>
          <w:color w:val="000000"/>
        </w:rPr>
        <w:t>“As you think about (</w:t>
      </w:r>
      <w:r>
        <w:rPr>
          <w:rFonts w:ascii="Nunito" w:eastAsia="Nunito" w:hAnsi="Nunito" w:cs="Nunito"/>
          <w:color w:val="000000"/>
          <w:u w:val="single"/>
        </w:rPr>
        <w:t>fill in the blank</w:t>
      </w:r>
      <w:r>
        <w:rPr>
          <w:rFonts w:ascii="Nunito" w:eastAsia="Nunito" w:hAnsi="Nunito" w:cs="Nunito"/>
          <w:color w:val="000000"/>
        </w:rPr>
        <w:t>), do you have any dilemmas or gray areas that you’d be willing to share?”</w:t>
      </w:r>
    </w:p>
    <w:p w14:paraId="4B6B77BF" w14:textId="77777777" w:rsidR="00B17C1E" w:rsidRDefault="00B17C1E">
      <w:pPr>
        <w:rPr>
          <w:rFonts w:ascii="Nunito" w:eastAsia="Nunito" w:hAnsi="Nunito" w:cs="Nunito"/>
        </w:rPr>
      </w:pPr>
    </w:p>
    <w:p w14:paraId="74DDA6BC" w14:textId="77777777" w:rsidR="00B17C1E" w:rsidRDefault="000567E7">
      <w:pPr>
        <w:spacing w:after="200" w:line="276" w:lineRule="auto"/>
        <w:rPr>
          <w:rFonts w:ascii="Nunito" w:eastAsia="Nunito" w:hAnsi="Nunito" w:cs="Nunito"/>
          <w:b/>
        </w:rPr>
      </w:pPr>
      <w:r>
        <w:rPr>
          <w:rFonts w:ascii="Nunito" w:eastAsia="Nunito" w:hAnsi="Nunito" w:cs="Nunito"/>
          <w:b/>
        </w:rPr>
        <w:t>Great Questions are:</w:t>
      </w:r>
    </w:p>
    <w:p w14:paraId="76527E05" w14:textId="77777777" w:rsidR="00B17C1E" w:rsidRDefault="000567E7">
      <w:pPr>
        <w:numPr>
          <w:ilvl w:val="0"/>
          <w:numId w:val="1"/>
        </w:numPr>
        <w:spacing w:after="200" w:line="276" w:lineRule="auto"/>
      </w:pPr>
      <w:r>
        <w:rPr>
          <w:rFonts w:ascii="Nunito" w:eastAsia="Nunito" w:hAnsi="Nunito" w:cs="Nunito"/>
          <w:b/>
        </w:rPr>
        <w:t>Open-e</w:t>
      </w:r>
      <w:r>
        <w:rPr>
          <w:rFonts w:ascii="Nunito" w:eastAsia="Nunito" w:hAnsi="Nunito" w:cs="Nunito"/>
          <w:b/>
        </w:rPr>
        <w:t>nded.</w:t>
      </w:r>
      <w:r>
        <w:rPr>
          <w:rFonts w:ascii="Nunito" w:eastAsia="Nunito" w:hAnsi="Nunito" w:cs="Nunito"/>
        </w:rPr>
        <w:t xml:space="preserve">  They are difficult to answer with a “yes” or a “no”.  Instead, they encourage deeper thinking, sharing of emotions, and reflection upon underlying values and beliefs.  Responses often give the listener new information. </w:t>
      </w:r>
    </w:p>
    <w:p w14:paraId="55B96C3E" w14:textId="77777777" w:rsidR="00B17C1E" w:rsidRDefault="00B17C1E">
      <w:pPr>
        <w:ind w:left="720"/>
        <w:rPr>
          <w:rFonts w:ascii="Nunito" w:eastAsia="Nunito" w:hAnsi="Nunito" w:cs="Nunito"/>
        </w:rPr>
      </w:pPr>
    </w:p>
    <w:p w14:paraId="457A6C0D" w14:textId="77777777" w:rsidR="00B17C1E" w:rsidRDefault="000567E7">
      <w:pPr>
        <w:numPr>
          <w:ilvl w:val="0"/>
          <w:numId w:val="1"/>
        </w:numPr>
        <w:spacing w:line="276" w:lineRule="auto"/>
      </w:pPr>
      <w:r>
        <w:rPr>
          <w:rFonts w:ascii="Nunito" w:eastAsia="Nunito" w:hAnsi="Nunito" w:cs="Nunito"/>
          <w:b/>
          <w:color w:val="000000"/>
        </w:rPr>
        <w:t xml:space="preserve">Not </w:t>
      </w:r>
      <w:r>
        <w:rPr>
          <w:rFonts w:ascii="Nunito" w:eastAsia="Nunito" w:hAnsi="Nunito" w:cs="Nunito"/>
          <w:b/>
        </w:rPr>
        <w:t>embedded</w:t>
      </w:r>
      <w:r>
        <w:rPr>
          <w:rFonts w:ascii="Nunito" w:eastAsia="Nunito" w:hAnsi="Nunito" w:cs="Nunito"/>
          <w:b/>
          <w:color w:val="000000"/>
        </w:rPr>
        <w:t xml:space="preserve"> with solutions.</w:t>
      </w:r>
      <w:r>
        <w:rPr>
          <w:rFonts w:ascii="Nunito" w:eastAsia="Nunito" w:hAnsi="Nunito" w:cs="Nunito"/>
          <w:color w:val="000000"/>
        </w:rPr>
        <w:t xml:space="preserve">  </w:t>
      </w:r>
      <w:r>
        <w:rPr>
          <w:rFonts w:ascii="Nunito" w:eastAsia="Nunito" w:hAnsi="Nunito" w:cs="Nunito"/>
        </w:rPr>
        <w:t>There is no implied “right” answer to the question.</w:t>
      </w:r>
      <w:r>
        <w:rPr>
          <w:rFonts w:ascii="Nunito" w:eastAsia="Nunito" w:hAnsi="Nunito" w:cs="Nunito"/>
          <w:color w:val="000000"/>
        </w:rPr>
        <w:t xml:space="preserve"> </w:t>
      </w:r>
      <w:r>
        <w:rPr>
          <w:rFonts w:ascii="Nunito" w:eastAsia="Nunito" w:hAnsi="Nunito" w:cs="Nunito"/>
        </w:rPr>
        <w:t xml:space="preserve"> Great questions avoid a subtle or inferred solution. Your goal is to more deeply understand the speaker’s experience, not impose your point of view.  </w:t>
      </w:r>
    </w:p>
    <w:p w14:paraId="04900D49" w14:textId="77777777" w:rsidR="00B17C1E" w:rsidRDefault="00B17C1E">
      <w:pPr>
        <w:tabs>
          <w:tab w:val="left" w:pos="450"/>
        </w:tabs>
        <w:rPr>
          <w:rFonts w:ascii="Nunito" w:eastAsia="Nunito" w:hAnsi="Nunito" w:cs="Nunito"/>
          <w:b/>
        </w:rPr>
      </w:pPr>
    </w:p>
    <w:p w14:paraId="255A65D7" w14:textId="77777777" w:rsidR="00B17C1E" w:rsidRDefault="000567E7">
      <w:pPr>
        <w:tabs>
          <w:tab w:val="left" w:pos="2310"/>
        </w:tabs>
        <w:rPr>
          <w:rFonts w:ascii="Nunito" w:eastAsia="Nunito" w:hAnsi="Nunito" w:cs="Nunito"/>
          <w:b/>
        </w:rPr>
      </w:pPr>
      <w:r>
        <w:rPr>
          <w:rFonts w:ascii="Nunito" w:eastAsia="Nunito" w:hAnsi="Nunito" w:cs="Nunito"/>
          <w:b/>
        </w:rPr>
        <w:tab/>
      </w:r>
    </w:p>
    <w:p w14:paraId="1801A50D" w14:textId="77777777" w:rsidR="00B17C1E" w:rsidRDefault="000567E7">
      <w:pPr>
        <w:numPr>
          <w:ilvl w:val="0"/>
          <w:numId w:val="1"/>
        </w:numPr>
        <w:spacing w:after="200" w:line="276" w:lineRule="auto"/>
      </w:pPr>
      <w:r>
        <w:rPr>
          <w:rFonts w:ascii="Nunito" w:eastAsia="Nunito" w:hAnsi="Nunito" w:cs="Nunito"/>
          <w:b/>
        </w:rPr>
        <w:t>Specific</w:t>
      </w:r>
      <w:r>
        <w:rPr>
          <w:rFonts w:ascii="Nunito" w:eastAsia="Nunito" w:hAnsi="Nunito" w:cs="Nunito"/>
        </w:rPr>
        <w:t>.  They ask the speaker</w:t>
      </w:r>
      <w:r>
        <w:rPr>
          <w:rFonts w:ascii="Nunito" w:eastAsia="Nunito" w:hAnsi="Nunito" w:cs="Nunito"/>
        </w:rPr>
        <w:t xml:space="preserve"> for details and data to help you more fully understand her experience.   </w:t>
      </w:r>
    </w:p>
    <w:p w14:paraId="1225A331" w14:textId="77777777" w:rsidR="00B17C1E" w:rsidRDefault="00B17C1E">
      <w:pPr>
        <w:rPr>
          <w:rFonts w:ascii="Nunito" w:eastAsia="Nunito" w:hAnsi="Nunito" w:cs="Nunito"/>
        </w:rPr>
      </w:pPr>
    </w:p>
    <w:p w14:paraId="48F23C82" w14:textId="77777777" w:rsidR="00B17C1E" w:rsidRDefault="000567E7">
      <w:pPr>
        <w:numPr>
          <w:ilvl w:val="0"/>
          <w:numId w:val="1"/>
        </w:numPr>
        <w:spacing w:after="200" w:line="276" w:lineRule="auto"/>
      </w:pPr>
      <w:r>
        <w:rPr>
          <w:rFonts w:ascii="Nunito" w:eastAsia="Nunito" w:hAnsi="Nunito" w:cs="Nunito"/>
          <w:b/>
        </w:rPr>
        <w:t>Personal</w:t>
      </w:r>
      <w:r>
        <w:rPr>
          <w:rFonts w:ascii="Nunito" w:eastAsia="Nunito" w:hAnsi="Nunito" w:cs="Nunito"/>
        </w:rPr>
        <w:t xml:space="preserve">.  They ask the speaker to share her personal, family, or community experience and relationship to the topic or issue.  </w:t>
      </w:r>
    </w:p>
    <w:p w14:paraId="1008196D" w14:textId="77777777" w:rsidR="00B17C1E" w:rsidRDefault="00B17C1E"/>
    <w:sectPr w:rsidR="00B17C1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92BD" w14:textId="77777777" w:rsidR="000567E7" w:rsidRDefault="000567E7">
      <w:r>
        <w:separator/>
      </w:r>
    </w:p>
  </w:endnote>
  <w:endnote w:type="continuationSeparator" w:id="0">
    <w:p w14:paraId="4676DC4E" w14:textId="77777777" w:rsidR="000567E7" w:rsidRDefault="0005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F1DE" w14:textId="77777777" w:rsidR="00B17C1E" w:rsidRDefault="000567E7">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152433">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52433">
      <w:rPr>
        <w:b/>
        <w:noProof/>
        <w:color w:val="000000"/>
      </w:rPr>
      <w:t>2</w:t>
    </w:r>
    <w:r>
      <w:rPr>
        <w:b/>
        <w:color w:val="000000"/>
      </w:rPr>
      <w:fldChar w:fldCharType="end"/>
    </w:r>
  </w:p>
  <w:p w14:paraId="3FE39C81" w14:textId="77777777" w:rsidR="00B17C1E" w:rsidRDefault="00B17C1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6588" w14:textId="77777777" w:rsidR="000567E7" w:rsidRDefault="000567E7">
      <w:r>
        <w:separator/>
      </w:r>
    </w:p>
  </w:footnote>
  <w:footnote w:type="continuationSeparator" w:id="0">
    <w:p w14:paraId="0ADD0C03" w14:textId="77777777" w:rsidR="000567E7" w:rsidRDefault="000567E7">
      <w:r>
        <w:continuationSeparator/>
      </w:r>
    </w:p>
  </w:footnote>
  <w:footnote w:id="1">
    <w:p w14:paraId="1401947E" w14:textId="77777777" w:rsidR="00B17C1E" w:rsidRDefault="000567E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categories and sample questions are based upon the manual, </w:t>
      </w:r>
      <w:r>
        <w:rPr>
          <w:color w:val="000000"/>
          <w:sz w:val="20"/>
          <w:szCs w:val="20"/>
          <w:u w:val="single"/>
        </w:rPr>
        <w:t>Fostering Dialogue Across Divides:  A Nuts and Bolts Guide from the Public Conversations Project</w:t>
      </w:r>
      <w:r>
        <w:rPr>
          <w:color w:val="000000"/>
          <w:sz w:val="20"/>
          <w:szCs w:val="20"/>
        </w:rPr>
        <w:t xml:space="preserve"> (now called Essential Partners).  It is available for free download on their website:  </w:t>
      </w:r>
      <w:hyperlink r:id="rId1">
        <w:r>
          <w:rPr>
            <w:color w:val="0000FF"/>
            <w:sz w:val="20"/>
            <w:szCs w:val="20"/>
            <w:u w:val="single"/>
          </w:rPr>
          <w:t>www.whatisessential.or</w:t>
        </w:r>
        <w:r>
          <w:rPr>
            <w:color w:val="0000FF"/>
            <w:sz w:val="20"/>
            <w:szCs w:val="20"/>
            <w:u w:val="single"/>
          </w:rPr>
          <w:t>g</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14B" w14:textId="77777777" w:rsidR="00B17C1E" w:rsidRDefault="000567E7">
    <w:pPr>
      <w:pBdr>
        <w:top w:val="nil"/>
        <w:left w:val="nil"/>
        <w:bottom w:val="nil"/>
        <w:right w:val="nil"/>
        <w:between w:val="nil"/>
      </w:pBdr>
      <w:tabs>
        <w:tab w:val="center" w:pos="4680"/>
        <w:tab w:val="right" w:pos="9360"/>
      </w:tabs>
      <w:jc w:val="right"/>
      <w:rPr>
        <w:color w:val="000000"/>
      </w:rPr>
    </w:pPr>
    <w:r>
      <w:rPr>
        <w:color w:val="000000"/>
      </w:rPr>
      <w:t>Video Series One:  Difficult Conversations</w:t>
    </w:r>
  </w:p>
  <w:p w14:paraId="1839AFE4" w14:textId="77777777" w:rsidR="00B17C1E" w:rsidRDefault="000567E7">
    <w:pPr>
      <w:pBdr>
        <w:top w:val="nil"/>
        <w:left w:val="nil"/>
        <w:bottom w:val="nil"/>
        <w:right w:val="nil"/>
        <w:between w:val="nil"/>
      </w:pBdr>
      <w:tabs>
        <w:tab w:val="center" w:pos="4680"/>
        <w:tab w:val="right" w:pos="9360"/>
      </w:tabs>
      <w:jc w:val="right"/>
      <w:rPr>
        <w:color w:val="000000"/>
      </w:rPr>
    </w:pPr>
    <w:r>
      <w:rPr>
        <w:color w:val="000000"/>
      </w:rPr>
      <w:t>Module 03:  Crafting Questions</w:t>
    </w:r>
  </w:p>
  <w:p w14:paraId="781D88E7" w14:textId="77777777" w:rsidR="00B17C1E" w:rsidRDefault="00B17C1E">
    <w:pPr>
      <w:pBdr>
        <w:top w:val="nil"/>
        <w:left w:val="nil"/>
        <w:bottom w:val="nil"/>
        <w:right w:val="nil"/>
        <w:between w:val="nil"/>
      </w:pBdr>
      <w:tabs>
        <w:tab w:val="center" w:pos="4680"/>
        <w:tab w:val="right" w:pos="9360"/>
      </w:tabs>
      <w:rPr>
        <w:color w:val="000000"/>
      </w:rPr>
    </w:pPr>
  </w:p>
  <w:p w14:paraId="201A0646" w14:textId="77777777" w:rsidR="00B17C1E" w:rsidRDefault="00B17C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A17"/>
    <w:multiLevelType w:val="multilevel"/>
    <w:tmpl w:val="E9785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325010"/>
    <w:multiLevelType w:val="multilevel"/>
    <w:tmpl w:val="76B0B42A"/>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2" w15:restartNumberingAfterBreak="0">
    <w:nsid w:val="6B7C43B5"/>
    <w:multiLevelType w:val="multilevel"/>
    <w:tmpl w:val="5E3EE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28894639">
    <w:abstractNumId w:val="2"/>
  </w:num>
  <w:num w:numId="2" w16cid:durableId="1716585443">
    <w:abstractNumId w:val="0"/>
  </w:num>
  <w:num w:numId="3" w16cid:durableId="2034451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1E"/>
    <w:rsid w:val="000567E7"/>
    <w:rsid w:val="00152433"/>
    <w:rsid w:val="00B1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F388F"/>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6046"/>
    <w:pPr>
      <w:tabs>
        <w:tab w:val="center" w:pos="4680"/>
        <w:tab w:val="right" w:pos="9360"/>
      </w:tabs>
    </w:pPr>
  </w:style>
  <w:style w:type="character" w:customStyle="1" w:styleId="HeaderChar">
    <w:name w:val="Header Char"/>
    <w:basedOn w:val="DefaultParagraphFont"/>
    <w:link w:val="Header"/>
    <w:uiPriority w:val="99"/>
    <w:rsid w:val="00E56046"/>
  </w:style>
  <w:style w:type="paragraph" w:styleId="Footer">
    <w:name w:val="footer"/>
    <w:basedOn w:val="Normal"/>
    <w:link w:val="FooterChar"/>
    <w:uiPriority w:val="99"/>
    <w:unhideWhenUsed/>
    <w:rsid w:val="00E56046"/>
    <w:pPr>
      <w:tabs>
        <w:tab w:val="center" w:pos="4680"/>
        <w:tab w:val="right" w:pos="9360"/>
      </w:tabs>
    </w:pPr>
  </w:style>
  <w:style w:type="character" w:customStyle="1" w:styleId="FooterChar">
    <w:name w:val="Footer Char"/>
    <w:basedOn w:val="DefaultParagraphFont"/>
    <w:link w:val="Footer"/>
    <w:uiPriority w:val="99"/>
    <w:rsid w:val="00E56046"/>
  </w:style>
  <w:style w:type="paragraph" w:styleId="FootnoteText">
    <w:name w:val="footnote text"/>
    <w:basedOn w:val="Normal"/>
    <w:link w:val="FootnoteTextChar"/>
    <w:uiPriority w:val="99"/>
    <w:semiHidden/>
    <w:unhideWhenUsed/>
    <w:rsid w:val="00A050D9"/>
    <w:rPr>
      <w:sz w:val="20"/>
      <w:szCs w:val="20"/>
    </w:rPr>
  </w:style>
  <w:style w:type="character" w:customStyle="1" w:styleId="FootnoteTextChar">
    <w:name w:val="Footnote Text Char"/>
    <w:basedOn w:val="DefaultParagraphFont"/>
    <w:link w:val="FootnoteText"/>
    <w:uiPriority w:val="99"/>
    <w:semiHidden/>
    <w:rsid w:val="00A050D9"/>
    <w:rPr>
      <w:sz w:val="20"/>
      <w:szCs w:val="20"/>
    </w:rPr>
  </w:style>
  <w:style w:type="character" w:styleId="FootnoteReference">
    <w:name w:val="footnote reference"/>
    <w:basedOn w:val="DefaultParagraphFont"/>
    <w:uiPriority w:val="99"/>
    <w:semiHidden/>
    <w:unhideWhenUsed/>
    <w:rsid w:val="00A050D9"/>
    <w:rPr>
      <w:vertAlign w:val="superscript"/>
    </w:rPr>
  </w:style>
  <w:style w:type="character" w:styleId="Hyperlink">
    <w:name w:val="Hyperlink"/>
    <w:basedOn w:val="DefaultParagraphFont"/>
    <w:uiPriority w:val="99"/>
    <w:unhideWhenUsed/>
    <w:rsid w:val="00A050D9"/>
    <w:rPr>
      <w:color w:val="0000FF" w:themeColor="hyperlink"/>
      <w:u w:val="single"/>
    </w:rPr>
  </w:style>
  <w:style w:type="character" w:styleId="UnresolvedMention">
    <w:name w:val="Unresolved Mention"/>
    <w:basedOn w:val="DefaultParagraphFont"/>
    <w:uiPriority w:val="99"/>
    <w:semiHidden/>
    <w:unhideWhenUsed/>
    <w:rsid w:val="00A050D9"/>
    <w:rPr>
      <w:color w:val="808080"/>
      <w:shd w:val="clear" w:color="auto" w:fill="E6E6E6"/>
    </w:rPr>
  </w:style>
  <w:style w:type="paragraph" w:styleId="ListParagraph">
    <w:name w:val="List Paragraph"/>
    <w:basedOn w:val="Normal"/>
    <w:uiPriority w:val="34"/>
    <w:qFormat/>
    <w:rsid w:val="00A873C7"/>
    <w:pPr>
      <w:ind w:left="720"/>
      <w:contextualSpacing/>
    </w:pPr>
  </w:style>
  <w:style w:type="paragraph" w:styleId="NormalWeb">
    <w:name w:val="Normal (Web)"/>
    <w:basedOn w:val="Normal"/>
    <w:uiPriority w:val="99"/>
    <w:unhideWhenUsed/>
    <w:rsid w:val="00546680"/>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hatisessent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iFrbbRFwpv2IWIds7Sz684Flg==">AMUW2mUzksm8jMUKy15jFGEk81C3DzEGpkxNm5VgUzI/ErQhYJxb/9vZ0nCfvMpjPo6ky4rhnMkRe6X2Kgz5bc2bXm6ysqCDPxIdxtRH7hvHasLmd3yCUcpre4J6hmy0ULZMsrJA3UYg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Penn</dc:creator>
  <cp:lastModifiedBy>Zaki, Nora</cp:lastModifiedBy>
  <cp:revision>2</cp:revision>
  <dcterms:created xsi:type="dcterms:W3CDTF">2022-03-24T17:11:00Z</dcterms:created>
  <dcterms:modified xsi:type="dcterms:W3CDTF">2022-03-24T17:11:00Z</dcterms:modified>
</cp:coreProperties>
</file>