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311F7" w14:textId="77777777" w:rsidR="00280C82" w:rsidRDefault="00280C82">
      <w:pPr>
        <w:ind w:left="-360"/>
        <w:rPr>
          <w:b/>
          <w:sz w:val="4"/>
          <w:szCs w:val="4"/>
        </w:rPr>
      </w:pPr>
    </w:p>
    <w:p w14:paraId="5AD5234B" w14:textId="77777777" w:rsidR="00280C82" w:rsidRDefault="00280C82">
      <w:pPr>
        <w:jc w:val="center"/>
        <w:rPr>
          <w:b/>
          <w:sz w:val="4"/>
          <w:szCs w:val="4"/>
        </w:rPr>
      </w:pPr>
    </w:p>
    <w:p w14:paraId="3DB7EA09" w14:textId="77777777" w:rsidR="00280C82" w:rsidRDefault="00280C82">
      <w:pPr>
        <w:ind w:left="-630" w:right="-360"/>
        <w:jc w:val="center"/>
        <w:rPr>
          <w:b/>
          <w:sz w:val="16"/>
          <w:szCs w:val="16"/>
        </w:rPr>
      </w:pPr>
    </w:p>
    <w:p w14:paraId="539A236D" w14:textId="77777777" w:rsidR="00280C82" w:rsidRDefault="00D52754">
      <w:pPr>
        <w:ind w:left="-630" w:right="-360"/>
        <w:jc w:val="center"/>
        <w:rPr>
          <w:b/>
          <w:sz w:val="28"/>
          <w:szCs w:val="28"/>
        </w:rPr>
      </w:pPr>
      <w:r>
        <w:rPr>
          <w:b/>
          <w:sz w:val="28"/>
          <w:szCs w:val="28"/>
        </w:rPr>
        <w:t>Suggested Group Agreements</w:t>
      </w:r>
    </w:p>
    <w:p w14:paraId="5B4DE35D" w14:textId="77777777" w:rsidR="00280C82" w:rsidRDefault="00280C82">
      <w:pPr>
        <w:ind w:left="-630" w:right="-360"/>
      </w:pPr>
    </w:p>
    <w:p w14:paraId="56184DA9" w14:textId="77777777" w:rsidR="00280C82" w:rsidRDefault="00D52754">
      <w:pPr>
        <w:ind w:left="-630" w:right="-360"/>
        <w:rPr>
          <w:sz w:val="22"/>
          <w:szCs w:val="22"/>
        </w:rPr>
      </w:pPr>
      <w:r>
        <w:rPr>
          <w:b/>
          <w:sz w:val="28"/>
          <w:szCs w:val="28"/>
        </w:rPr>
        <w:t>Objective:</w:t>
      </w:r>
      <w:r>
        <w:t xml:space="preserve">  </w:t>
      </w:r>
      <w:r>
        <w:rPr>
          <w:sz w:val="23"/>
          <w:szCs w:val="23"/>
        </w:rPr>
        <w:t>To create a respectful group environment.</w:t>
      </w:r>
    </w:p>
    <w:p w14:paraId="7D68354A" w14:textId="77777777" w:rsidR="00280C82" w:rsidRDefault="00280C82">
      <w:pPr>
        <w:ind w:left="-630" w:right="-360"/>
        <w:rPr>
          <w:sz w:val="22"/>
          <w:szCs w:val="22"/>
        </w:rPr>
      </w:pPr>
    </w:p>
    <w:p w14:paraId="21D1637A" w14:textId="77777777" w:rsidR="00280C82" w:rsidRDefault="00D52754">
      <w:pPr>
        <w:ind w:left="-630" w:right="-360"/>
        <w:rPr>
          <w:sz w:val="22"/>
          <w:szCs w:val="22"/>
        </w:rPr>
      </w:pPr>
      <w:r>
        <w:rPr>
          <w:b/>
          <w:sz w:val="28"/>
          <w:szCs w:val="28"/>
        </w:rPr>
        <w:t xml:space="preserve">Introduction: </w:t>
      </w:r>
      <w:r>
        <w:rPr>
          <w:sz w:val="22"/>
          <w:szCs w:val="22"/>
        </w:rPr>
        <w:t>When talking about highly charged issues that are close to your heart, you may feel uncomfortable listening to perspectives that contradict your experience or position. It’s easy to feel defensive and respond with a counter argument.  But getting outside y</w:t>
      </w:r>
      <w:r>
        <w:rPr>
          <w:sz w:val="22"/>
          <w:szCs w:val="22"/>
        </w:rPr>
        <w:t xml:space="preserve">our comfort zone is often necessary to understand a different perspective.  Remember, listening </w:t>
      </w:r>
      <w:r>
        <w:rPr>
          <w:noProof/>
          <w:sz w:val="22"/>
          <w:szCs w:val="22"/>
        </w:rPr>
        <w:drawing>
          <wp:inline distT="0" distB="0" distL="0" distR="0" wp14:anchorId="2E313775" wp14:editId="31295E2B">
            <wp:extent cx="107536" cy="88144"/>
            <wp:effectExtent l="0" t="0" r="0" b="0"/>
            <wp:docPr id="4" name="image1.png" descr="C:\Users\Janet Penn\Desktop\not-equal-to-th.png"/>
            <wp:cNvGraphicFramePr/>
            <a:graphic xmlns:a="http://schemas.openxmlformats.org/drawingml/2006/main">
              <a:graphicData uri="http://schemas.openxmlformats.org/drawingml/2006/picture">
                <pic:pic xmlns:pic="http://schemas.openxmlformats.org/drawingml/2006/picture">
                  <pic:nvPicPr>
                    <pic:cNvPr id="0" name="image1.png" descr="C:\Users\Janet Penn\Desktop\not-equal-to-th.png"/>
                    <pic:cNvPicPr preferRelativeResize="0"/>
                  </pic:nvPicPr>
                  <pic:blipFill>
                    <a:blip r:embed="rId8"/>
                    <a:srcRect/>
                    <a:stretch>
                      <a:fillRect/>
                    </a:stretch>
                  </pic:blipFill>
                  <pic:spPr>
                    <a:xfrm>
                      <a:off x="0" y="0"/>
                      <a:ext cx="107536" cy="88144"/>
                    </a:xfrm>
                    <a:prstGeom prst="rect">
                      <a:avLst/>
                    </a:prstGeom>
                    <a:ln/>
                  </pic:spPr>
                </pic:pic>
              </a:graphicData>
            </a:graphic>
          </wp:inline>
        </w:drawing>
      </w:r>
      <w:r>
        <w:rPr>
          <w:sz w:val="22"/>
          <w:szCs w:val="22"/>
        </w:rPr>
        <w:t xml:space="preserve"> agreeing!   </w:t>
      </w:r>
    </w:p>
    <w:p w14:paraId="78E20214" w14:textId="77777777" w:rsidR="00280C82" w:rsidRDefault="00280C82">
      <w:pPr>
        <w:ind w:left="-630" w:right="-360"/>
        <w:rPr>
          <w:sz w:val="22"/>
          <w:szCs w:val="22"/>
        </w:rPr>
      </w:pPr>
    </w:p>
    <w:p w14:paraId="1176B367" w14:textId="77777777" w:rsidR="00280C82" w:rsidRDefault="00D52754">
      <w:pPr>
        <w:ind w:left="-630" w:right="-360"/>
        <w:rPr>
          <w:sz w:val="22"/>
          <w:szCs w:val="22"/>
        </w:rPr>
      </w:pPr>
      <w:r>
        <w:rPr>
          <w:sz w:val="22"/>
          <w:szCs w:val="22"/>
        </w:rPr>
        <w:t>With that in mind, group agreements define a shared set of behaviors, norms, and expectations for your group.  Don’t be discouraged if your chap</w:t>
      </w:r>
      <w:r>
        <w:rPr>
          <w:sz w:val="22"/>
          <w:szCs w:val="22"/>
        </w:rPr>
        <w:t>ter doesn’t always live up to the ideal.  Consider them your aspiration.  These agreements are based upon the work of Essential Partners.</w:t>
      </w:r>
      <w:r>
        <w:rPr>
          <w:sz w:val="22"/>
          <w:szCs w:val="22"/>
          <w:vertAlign w:val="superscript"/>
        </w:rPr>
        <w:footnoteReference w:id="1"/>
      </w:r>
    </w:p>
    <w:p w14:paraId="11CD2CE5" w14:textId="77777777" w:rsidR="00280C82" w:rsidRDefault="00280C82">
      <w:pPr>
        <w:ind w:left="-630" w:right="-360"/>
        <w:rPr>
          <w:sz w:val="28"/>
          <w:szCs w:val="28"/>
        </w:rPr>
      </w:pPr>
    </w:p>
    <w:p w14:paraId="074002B2" w14:textId="77777777" w:rsidR="00280C82" w:rsidRDefault="00D52754">
      <w:pPr>
        <w:numPr>
          <w:ilvl w:val="0"/>
          <w:numId w:val="1"/>
        </w:numPr>
        <w:ind w:left="-270" w:right="-360"/>
        <w:rPr>
          <w:sz w:val="22"/>
          <w:szCs w:val="22"/>
        </w:rPr>
      </w:pPr>
      <w:r>
        <w:rPr>
          <w:b/>
          <w:sz w:val="22"/>
          <w:szCs w:val="22"/>
        </w:rPr>
        <w:t>I will speak for myself and from my own experience.</w:t>
      </w:r>
      <w:r>
        <w:rPr>
          <w:sz w:val="22"/>
          <w:szCs w:val="22"/>
        </w:rPr>
        <w:t xml:space="preserve">  Speak with honesty and admit what you do not know.  Begin sent</w:t>
      </w:r>
      <w:r>
        <w:rPr>
          <w:sz w:val="22"/>
          <w:szCs w:val="22"/>
        </w:rPr>
        <w:t>ences with “I notice” or “I wonder”, as opposed to “you people” or “you think”.</w:t>
      </w:r>
    </w:p>
    <w:p w14:paraId="3DB40E4D" w14:textId="77777777" w:rsidR="00280C82" w:rsidRDefault="00280C82">
      <w:pPr>
        <w:ind w:left="-270" w:right="-360"/>
        <w:rPr>
          <w:sz w:val="22"/>
          <w:szCs w:val="22"/>
        </w:rPr>
      </w:pPr>
    </w:p>
    <w:p w14:paraId="3F957D2F" w14:textId="77777777" w:rsidR="00280C82" w:rsidRDefault="00D52754">
      <w:pPr>
        <w:numPr>
          <w:ilvl w:val="0"/>
          <w:numId w:val="1"/>
        </w:numPr>
        <w:ind w:left="-270" w:right="-360"/>
        <w:rPr>
          <w:sz w:val="22"/>
          <w:szCs w:val="22"/>
        </w:rPr>
      </w:pPr>
      <w:r>
        <w:rPr>
          <w:b/>
          <w:sz w:val="22"/>
          <w:szCs w:val="22"/>
        </w:rPr>
        <w:t xml:space="preserve">I will listen with an open heart and mind.  </w:t>
      </w:r>
      <w:r>
        <w:rPr>
          <w:sz w:val="22"/>
          <w:szCs w:val="22"/>
        </w:rPr>
        <w:t>Assume good will and don’t let prior assumptions dissuade you from listening and learning from each other. In addition to listening</w:t>
      </w:r>
      <w:r>
        <w:rPr>
          <w:sz w:val="22"/>
          <w:szCs w:val="22"/>
        </w:rPr>
        <w:t xml:space="preserve"> to the person’s position, try listening to understand their feelings and values. You may never agree with their position, but you may discover shared values and make a human connection.</w:t>
      </w:r>
    </w:p>
    <w:p w14:paraId="64F04C6A" w14:textId="77777777" w:rsidR="00280C82" w:rsidRDefault="00280C82">
      <w:pPr>
        <w:ind w:left="-270" w:right="-360" w:hanging="360"/>
        <w:rPr>
          <w:sz w:val="22"/>
          <w:szCs w:val="22"/>
        </w:rPr>
      </w:pPr>
    </w:p>
    <w:p w14:paraId="71B05E43" w14:textId="77777777" w:rsidR="00280C82" w:rsidRDefault="00D52754">
      <w:pPr>
        <w:numPr>
          <w:ilvl w:val="0"/>
          <w:numId w:val="1"/>
        </w:numPr>
        <w:ind w:left="-270" w:right="-360"/>
        <w:rPr>
          <w:sz w:val="22"/>
          <w:szCs w:val="22"/>
        </w:rPr>
      </w:pPr>
      <w:r>
        <w:rPr>
          <w:b/>
          <w:sz w:val="22"/>
          <w:szCs w:val="22"/>
        </w:rPr>
        <w:t>I will set aside the need to persuade others to agree with me</w:t>
      </w:r>
      <w:r>
        <w:rPr>
          <w:sz w:val="22"/>
          <w:szCs w:val="22"/>
        </w:rPr>
        <w:t>. Ackno</w:t>
      </w:r>
      <w:r>
        <w:rPr>
          <w:sz w:val="22"/>
          <w:szCs w:val="22"/>
        </w:rPr>
        <w:t xml:space="preserve">wledge that there are many forms of religious expression within and between our faiths. </w:t>
      </w:r>
    </w:p>
    <w:p w14:paraId="161D35CA" w14:textId="77777777" w:rsidR="00280C82" w:rsidRDefault="00280C82">
      <w:pPr>
        <w:ind w:right="-360"/>
        <w:rPr>
          <w:sz w:val="22"/>
          <w:szCs w:val="22"/>
        </w:rPr>
      </w:pPr>
    </w:p>
    <w:p w14:paraId="79A54D30" w14:textId="77777777" w:rsidR="00280C82" w:rsidRDefault="00D52754">
      <w:pPr>
        <w:numPr>
          <w:ilvl w:val="0"/>
          <w:numId w:val="1"/>
        </w:numPr>
        <w:ind w:left="-270" w:right="-360"/>
        <w:rPr>
          <w:b/>
          <w:sz w:val="22"/>
          <w:szCs w:val="22"/>
        </w:rPr>
      </w:pPr>
      <w:r>
        <w:rPr>
          <w:b/>
          <w:sz w:val="22"/>
          <w:szCs w:val="22"/>
        </w:rPr>
        <w:t xml:space="preserve">I will not interrupt. </w:t>
      </w:r>
      <w:r>
        <w:rPr>
          <w:sz w:val="22"/>
          <w:szCs w:val="22"/>
        </w:rPr>
        <w:t xml:space="preserve"> Wait until a speaker has finished before you respond and refrain from sidebar conversations.  Using your cell phone is another type of interrup</w:t>
      </w:r>
      <w:r>
        <w:rPr>
          <w:sz w:val="22"/>
          <w:szCs w:val="22"/>
        </w:rPr>
        <w:t>tion, so put it away during meetings.</w:t>
      </w:r>
    </w:p>
    <w:p w14:paraId="558F1D3A" w14:textId="77777777" w:rsidR="00280C82" w:rsidRDefault="00280C82">
      <w:pPr>
        <w:ind w:right="-360"/>
        <w:rPr>
          <w:b/>
          <w:sz w:val="22"/>
          <w:szCs w:val="22"/>
        </w:rPr>
      </w:pPr>
    </w:p>
    <w:p w14:paraId="6E611E66" w14:textId="77777777" w:rsidR="00280C82" w:rsidRDefault="00D52754">
      <w:pPr>
        <w:numPr>
          <w:ilvl w:val="0"/>
          <w:numId w:val="1"/>
        </w:numPr>
        <w:ind w:left="-270" w:right="-360"/>
        <w:rPr>
          <w:sz w:val="22"/>
          <w:szCs w:val="22"/>
        </w:rPr>
      </w:pPr>
      <w:r>
        <w:rPr>
          <w:b/>
          <w:sz w:val="22"/>
          <w:szCs w:val="22"/>
        </w:rPr>
        <w:t xml:space="preserve">I will “step up” to share my thoughts and experiences and then “step back” so others may share theirs. </w:t>
      </w:r>
      <w:r>
        <w:rPr>
          <w:sz w:val="22"/>
          <w:szCs w:val="22"/>
        </w:rPr>
        <w:t xml:space="preserve"> Give everyone an equal opportunity to speak, or in the words of renowned educator Peggy Mcintosh, maintain an autocratic allocation of time for a democratic allocation of voice. </w:t>
      </w:r>
      <w:r>
        <w:rPr>
          <w:sz w:val="22"/>
          <w:szCs w:val="22"/>
          <w:vertAlign w:val="superscript"/>
        </w:rPr>
        <w:footnoteReference w:id="2"/>
      </w:r>
    </w:p>
    <w:p w14:paraId="1ED81137" w14:textId="77777777" w:rsidR="00280C82" w:rsidRDefault="00280C82">
      <w:pPr>
        <w:ind w:left="-270" w:right="-360" w:hanging="360"/>
        <w:rPr>
          <w:sz w:val="22"/>
          <w:szCs w:val="22"/>
        </w:rPr>
      </w:pPr>
    </w:p>
    <w:p w14:paraId="62191CA8" w14:textId="77777777" w:rsidR="00280C82" w:rsidRDefault="00D52754">
      <w:pPr>
        <w:numPr>
          <w:ilvl w:val="0"/>
          <w:numId w:val="1"/>
        </w:numPr>
        <w:ind w:left="-270" w:right="-360"/>
        <w:rPr>
          <w:sz w:val="22"/>
          <w:szCs w:val="22"/>
        </w:rPr>
      </w:pPr>
      <w:r>
        <w:rPr>
          <w:b/>
          <w:sz w:val="22"/>
          <w:szCs w:val="22"/>
        </w:rPr>
        <w:t>I will ask a clarifying question</w:t>
      </w:r>
      <w:r>
        <w:rPr>
          <w:sz w:val="22"/>
          <w:szCs w:val="22"/>
        </w:rPr>
        <w:t xml:space="preserve"> if I don’t understand something that’s b</w:t>
      </w:r>
      <w:r>
        <w:rPr>
          <w:sz w:val="22"/>
          <w:szCs w:val="22"/>
        </w:rPr>
        <w:t>een said.  For example, “what do you mean when you said _______?” or, “can you say more about your personal connection to the issue?”</w:t>
      </w:r>
    </w:p>
    <w:p w14:paraId="786D4347" w14:textId="77777777" w:rsidR="00280C82" w:rsidRDefault="00280C82">
      <w:pPr>
        <w:ind w:left="-270" w:right="-360" w:hanging="360"/>
        <w:rPr>
          <w:sz w:val="22"/>
          <w:szCs w:val="22"/>
        </w:rPr>
      </w:pPr>
    </w:p>
    <w:p w14:paraId="12BAEA5D" w14:textId="77777777" w:rsidR="00280C82" w:rsidRDefault="00D52754">
      <w:pPr>
        <w:numPr>
          <w:ilvl w:val="0"/>
          <w:numId w:val="1"/>
        </w:numPr>
        <w:ind w:left="-270" w:right="-360"/>
        <w:rPr>
          <w:sz w:val="22"/>
          <w:szCs w:val="22"/>
        </w:rPr>
      </w:pPr>
      <w:r>
        <w:rPr>
          <w:b/>
          <w:sz w:val="22"/>
          <w:szCs w:val="22"/>
        </w:rPr>
        <w:t xml:space="preserve">I will “pass” if I don’t want to speak. </w:t>
      </w:r>
      <w:r>
        <w:rPr>
          <w:sz w:val="22"/>
          <w:szCs w:val="22"/>
        </w:rPr>
        <w:t xml:space="preserve"> But if a sister is often silent, check in with her after a meeting.  Ask how she</w:t>
      </w:r>
      <w:r>
        <w:rPr>
          <w:sz w:val="22"/>
          <w:szCs w:val="22"/>
        </w:rPr>
        <w:t>’s feeling and how you might help her feel more comfortable sharing in the group.</w:t>
      </w:r>
    </w:p>
    <w:p w14:paraId="27BDB718" w14:textId="77777777" w:rsidR="00280C82" w:rsidRDefault="00280C82">
      <w:pPr>
        <w:pBdr>
          <w:top w:val="nil"/>
          <w:left w:val="nil"/>
          <w:bottom w:val="nil"/>
          <w:right w:val="nil"/>
          <w:between w:val="nil"/>
        </w:pBdr>
        <w:ind w:left="-270" w:hanging="360"/>
        <w:rPr>
          <w:b/>
          <w:color w:val="000000"/>
          <w:sz w:val="22"/>
          <w:szCs w:val="22"/>
        </w:rPr>
      </w:pPr>
    </w:p>
    <w:p w14:paraId="3425EE3C" w14:textId="77777777" w:rsidR="00280C82" w:rsidRDefault="00D52754">
      <w:pPr>
        <w:numPr>
          <w:ilvl w:val="0"/>
          <w:numId w:val="1"/>
        </w:numPr>
        <w:ind w:left="-270" w:right="-360"/>
        <w:rPr>
          <w:b/>
          <w:sz w:val="22"/>
          <w:szCs w:val="22"/>
        </w:rPr>
      </w:pPr>
      <w:r>
        <w:rPr>
          <w:b/>
          <w:sz w:val="22"/>
          <w:szCs w:val="22"/>
        </w:rPr>
        <w:t xml:space="preserve">I will maintain confidentiality.  </w:t>
      </w:r>
      <w:r>
        <w:rPr>
          <w:sz w:val="22"/>
          <w:szCs w:val="22"/>
        </w:rPr>
        <w:t>What’s said in the group, stays in the group.  But please, take what you learn out into the world!</w:t>
      </w:r>
    </w:p>
    <w:sectPr w:rsidR="00280C82">
      <w:headerReference w:type="default" r:id="rId9"/>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9B5DD" w14:textId="77777777" w:rsidR="00D52754" w:rsidRDefault="00D52754">
      <w:r>
        <w:separator/>
      </w:r>
    </w:p>
  </w:endnote>
  <w:endnote w:type="continuationSeparator" w:id="0">
    <w:p w14:paraId="7E58C1A0" w14:textId="77777777" w:rsidR="00D52754" w:rsidRDefault="00D52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F5CD7" w14:textId="77777777" w:rsidR="00D52754" w:rsidRDefault="00D52754">
      <w:r>
        <w:separator/>
      </w:r>
    </w:p>
  </w:footnote>
  <w:footnote w:type="continuationSeparator" w:id="0">
    <w:p w14:paraId="352E0321" w14:textId="77777777" w:rsidR="00D52754" w:rsidRDefault="00D52754">
      <w:r>
        <w:continuationSeparator/>
      </w:r>
    </w:p>
  </w:footnote>
  <w:footnote w:id="1">
    <w:p w14:paraId="191093EB" w14:textId="77777777" w:rsidR="00280C82" w:rsidRDefault="00D52754">
      <w:pPr>
        <w:pBdr>
          <w:top w:val="nil"/>
          <w:left w:val="nil"/>
          <w:bottom w:val="nil"/>
          <w:right w:val="nil"/>
          <w:between w:val="nil"/>
        </w:pBdr>
        <w:ind w:left="-630"/>
        <w:rPr>
          <w:color w:val="000000"/>
          <w:sz w:val="20"/>
          <w:szCs w:val="20"/>
        </w:rPr>
      </w:pPr>
      <w:r>
        <w:rPr>
          <w:rStyle w:val="FootnoteReference"/>
        </w:rPr>
        <w:footnoteRef/>
      </w:r>
      <w:r>
        <w:rPr>
          <w:color w:val="000000"/>
          <w:sz w:val="20"/>
          <w:szCs w:val="20"/>
        </w:rPr>
        <w:t xml:space="preserve"> Essential Partners. https://www.whatisessential.org/fdad.  </w:t>
      </w:r>
      <w:r>
        <w:rPr>
          <w:color w:val="000000"/>
          <w:sz w:val="20"/>
          <w:szCs w:val="20"/>
          <w:u w:val="single"/>
        </w:rPr>
        <w:t>Fostering Dialogues Across Divides</w:t>
      </w:r>
      <w:r>
        <w:rPr>
          <w:color w:val="000000"/>
          <w:sz w:val="20"/>
          <w:szCs w:val="20"/>
        </w:rPr>
        <w:t xml:space="preserve">, </w:t>
      </w:r>
      <w:proofErr w:type="spellStart"/>
      <w:r>
        <w:rPr>
          <w:color w:val="000000"/>
          <w:sz w:val="20"/>
          <w:szCs w:val="20"/>
        </w:rPr>
        <w:t>Chasin</w:t>
      </w:r>
      <w:proofErr w:type="spellEnd"/>
      <w:r>
        <w:rPr>
          <w:color w:val="000000"/>
          <w:sz w:val="20"/>
          <w:szCs w:val="20"/>
        </w:rPr>
        <w:t xml:space="preserve"> and Herzig.  You can download this 100+page guide for free or $40 for </w:t>
      </w:r>
      <w:r>
        <w:rPr>
          <w:color w:val="000000"/>
          <w:sz w:val="20"/>
          <w:szCs w:val="20"/>
        </w:rPr>
        <w:t>hard copy (includes shipping).</w:t>
      </w:r>
    </w:p>
  </w:footnote>
  <w:footnote w:id="2">
    <w:p w14:paraId="2C075F09" w14:textId="77777777" w:rsidR="00280C82" w:rsidRDefault="00D52754">
      <w:pPr>
        <w:pBdr>
          <w:top w:val="nil"/>
          <w:left w:val="nil"/>
          <w:bottom w:val="nil"/>
          <w:right w:val="nil"/>
          <w:between w:val="nil"/>
        </w:pBdr>
        <w:ind w:left="-630"/>
        <w:rPr>
          <w:color w:val="000000"/>
          <w:sz w:val="20"/>
          <w:szCs w:val="20"/>
        </w:rPr>
      </w:pPr>
      <w:r>
        <w:rPr>
          <w:rStyle w:val="FootnoteReference"/>
        </w:rPr>
        <w:footnoteRef/>
      </w:r>
      <w:r>
        <w:rPr>
          <w:color w:val="000000"/>
          <w:sz w:val="20"/>
          <w:szCs w:val="20"/>
        </w:rPr>
        <w:t xml:space="preserve"> https://www.speakoutnow.org/speaker/mcintosh-peggy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D1BE" w14:textId="77777777" w:rsidR="00280C82" w:rsidRDefault="00D52754">
    <w:pPr>
      <w:pBdr>
        <w:top w:val="nil"/>
        <w:left w:val="nil"/>
        <w:bottom w:val="nil"/>
        <w:right w:val="nil"/>
        <w:between w:val="nil"/>
      </w:pBdr>
      <w:tabs>
        <w:tab w:val="center" w:pos="4320"/>
        <w:tab w:val="right" w:pos="8640"/>
      </w:tabs>
      <w:jc w:val="right"/>
      <w:rPr>
        <w:color w:val="000000"/>
      </w:rPr>
    </w:pPr>
    <w:r>
      <w:rPr>
        <w:color w:val="000000"/>
      </w:rPr>
      <w:t>Video Series One:  Difficult Conversations</w:t>
    </w:r>
  </w:p>
  <w:p w14:paraId="3BF058E4" w14:textId="77777777" w:rsidR="00280C82" w:rsidRDefault="00D52754">
    <w:pPr>
      <w:pBdr>
        <w:top w:val="nil"/>
        <w:left w:val="nil"/>
        <w:bottom w:val="nil"/>
        <w:right w:val="nil"/>
        <w:between w:val="nil"/>
      </w:pBdr>
      <w:tabs>
        <w:tab w:val="center" w:pos="4320"/>
        <w:tab w:val="right" w:pos="8640"/>
      </w:tabs>
      <w:jc w:val="right"/>
      <w:rPr>
        <w:color w:val="000000"/>
      </w:rPr>
    </w:pPr>
    <w:r>
      <w:rPr>
        <w:color w:val="000000"/>
      </w:rPr>
      <w:t>Module 02:  Setting Group Agreements</w:t>
    </w:r>
  </w:p>
  <w:p w14:paraId="0E8EE7C4" w14:textId="77777777" w:rsidR="00280C82" w:rsidRDefault="00D52754">
    <w:pPr>
      <w:tabs>
        <w:tab w:val="center" w:pos="4320"/>
        <w:tab w:val="right" w:pos="8640"/>
      </w:tabs>
      <w:ind w:left="-360"/>
      <w:rPr>
        <w:color w:val="000000"/>
      </w:rPr>
    </w:pPr>
    <w:bookmarkStart w:id="0" w:name="_heading=h.gjdgxs" w:colFirst="0" w:colLast="0"/>
    <w:bookmarkEnd w:id="0"/>
    <w:r>
      <w:rPr>
        <w:b/>
        <w:noProof/>
        <w:sz w:val="32"/>
        <w:szCs w:val="32"/>
      </w:rPr>
      <w:drawing>
        <wp:inline distT="19050" distB="19050" distL="19050" distR="19050" wp14:anchorId="01235A5F" wp14:editId="444EAB5B">
          <wp:extent cx="1395413" cy="425039"/>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95413" cy="42503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E5B9B"/>
    <w:multiLevelType w:val="multilevel"/>
    <w:tmpl w:val="25C078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8640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C82"/>
    <w:rsid w:val="00280C82"/>
    <w:rsid w:val="008C0BCF"/>
    <w:rsid w:val="00D52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958086"/>
  <w15:docId w15:val="{BE4FE403-13B7-E14E-99AD-492C18209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B8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rsid w:val="00F343A9"/>
    <w:pPr>
      <w:tabs>
        <w:tab w:val="center" w:pos="4320"/>
        <w:tab w:val="right" w:pos="8640"/>
      </w:tabs>
    </w:pPr>
  </w:style>
  <w:style w:type="paragraph" w:styleId="Footer">
    <w:name w:val="footer"/>
    <w:basedOn w:val="Normal"/>
    <w:rsid w:val="00F343A9"/>
    <w:pPr>
      <w:tabs>
        <w:tab w:val="center" w:pos="4320"/>
        <w:tab w:val="right" w:pos="8640"/>
      </w:tabs>
    </w:pPr>
  </w:style>
  <w:style w:type="paragraph" w:styleId="ListParagraph">
    <w:name w:val="List Paragraph"/>
    <w:basedOn w:val="Normal"/>
    <w:uiPriority w:val="34"/>
    <w:qFormat/>
    <w:rsid w:val="00545F6F"/>
    <w:pPr>
      <w:ind w:left="720"/>
    </w:pPr>
  </w:style>
  <w:style w:type="paragraph" w:styleId="BalloonText">
    <w:name w:val="Balloon Text"/>
    <w:basedOn w:val="Normal"/>
    <w:link w:val="BalloonTextChar"/>
    <w:rsid w:val="00B762A5"/>
    <w:rPr>
      <w:rFonts w:ascii="Tahoma" w:hAnsi="Tahoma" w:cs="Tahoma"/>
      <w:sz w:val="16"/>
      <w:szCs w:val="16"/>
    </w:rPr>
  </w:style>
  <w:style w:type="character" w:customStyle="1" w:styleId="BalloonTextChar">
    <w:name w:val="Balloon Text Char"/>
    <w:basedOn w:val="DefaultParagraphFont"/>
    <w:link w:val="BalloonText"/>
    <w:rsid w:val="00B762A5"/>
    <w:rPr>
      <w:rFonts w:ascii="Tahoma" w:hAnsi="Tahoma" w:cs="Tahoma"/>
      <w:sz w:val="16"/>
      <w:szCs w:val="16"/>
    </w:rPr>
  </w:style>
  <w:style w:type="paragraph" w:styleId="FootnoteText">
    <w:name w:val="footnote text"/>
    <w:basedOn w:val="Normal"/>
    <w:link w:val="FootnoteTextChar"/>
    <w:rsid w:val="00796BE3"/>
    <w:rPr>
      <w:sz w:val="20"/>
      <w:szCs w:val="20"/>
    </w:rPr>
  </w:style>
  <w:style w:type="character" w:customStyle="1" w:styleId="FootnoteTextChar">
    <w:name w:val="Footnote Text Char"/>
    <w:basedOn w:val="DefaultParagraphFont"/>
    <w:link w:val="FootnoteText"/>
    <w:rsid w:val="00796BE3"/>
  </w:style>
  <w:style w:type="character" w:styleId="FootnoteReference">
    <w:name w:val="footnote reference"/>
    <w:basedOn w:val="DefaultParagraphFont"/>
    <w:rsid w:val="00796BE3"/>
    <w:rPr>
      <w:vertAlign w:val="superscript"/>
    </w:rPr>
  </w:style>
  <w:style w:type="character" w:styleId="Hyperlink">
    <w:name w:val="Hyperlink"/>
    <w:basedOn w:val="DefaultParagraphFont"/>
    <w:rsid w:val="00796BE3"/>
    <w:rPr>
      <w:color w:val="0000FF" w:themeColor="hyperlink"/>
      <w:u w:val="single"/>
    </w:rPr>
  </w:style>
  <w:style w:type="character" w:customStyle="1" w:styleId="HeaderChar">
    <w:name w:val="Header Char"/>
    <w:basedOn w:val="DefaultParagraphFont"/>
    <w:link w:val="Header"/>
    <w:uiPriority w:val="99"/>
    <w:rsid w:val="00882187"/>
    <w:rPr>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kstv8fXS4Bas4BlKK30Tbnm57A==">AMUW2mU0uNwVr89TaxyCb+gHyiPsTCCjbLXeOIRXnDO+cvfYq8jnCTRjYqIau1kE4+9ZRwo5orD9MO7XPVJKD0HE+GhKX4kwaa9lyWuD0vDO+l052TRtx/0QLBBtz6f1hBuV1OXXN2ek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2131</Characters>
  <Application>Microsoft Office Word</Application>
  <DocSecurity>0</DocSecurity>
  <Lines>17</Lines>
  <Paragraphs>4</Paragraphs>
  <ScaleCrop>false</ScaleCrop>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Penn</dc:creator>
  <cp:lastModifiedBy>Zaki, Nora</cp:lastModifiedBy>
  <cp:revision>2</cp:revision>
  <dcterms:created xsi:type="dcterms:W3CDTF">2022-03-22T22:17:00Z</dcterms:created>
  <dcterms:modified xsi:type="dcterms:W3CDTF">2022-03-22T22:17:00Z</dcterms:modified>
</cp:coreProperties>
</file>